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95B" w:rsidRDefault="00C06562">
      <w:pPr>
        <w:spacing w:line="276" w:lineRule="auto"/>
        <w:ind w:left="1247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noProof/>
          <w:lang w:eastAsia="pl-PL" w:bidi="ar-SA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-46990</wp:posOffset>
            </wp:positionV>
            <wp:extent cx="635000" cy="706755"/>
            <wp:effectExtent l="0" t="0" r="0" b="0"/>
            <wp:wrapNone/>
            <wp:docPr id="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370" t="-1227" r="-1370" b="-1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2268220</wp:posOffset>
                </wp:positionV>
                <wp:extent cx="177165" cy="179705"/>
                <wp:effectExtent l="0" t="0" r="0" b="0"/>
                <wp:wrapSquare wrapText="bothSides"/>
                <wp:docPr id="2" name="Ramk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20" cy="17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31795B" w:rsidRDefault="00C06562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mka1" o:spid="_x0000_s1026" style="position:absolute;left:0;text-align:left;margin-left:-42.5pt;margin-top:178.6pt;width:13.95pt;height:14.1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" o:allowincell="f" stroked="f" strokeweight="0">
                <v:textbox inset="0,0,0,0">
                  <w:txbxContent>
                    <w:p w:rsidR="0031795B" w:rsidRDefault="00C06562">
                      <w:pPr>
                        <w:spacing w:line="360" w:lineRule="auto"/>
                        <w:jc w:val="center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b/>
          <w:sz w:val="28"/>
          <w:szCs w:val="28"/>
        </w:rPr>
        <w:t xml:space="preserve">NACZELNIK </w:t>
      </w:r>
    </w:p>
    <w:p w:rsidR="0031795B" w:rsidRDefault="00C06562">
      <w:pPr>
        <w:spacing w:line="276" w:lineRule="auto"/>
        <w:ind w:left="1247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URZĘDU SKARBOWEGO </w:t>
      </w:r>
    </w:p>
    <w:p w:rsidR="0031795B" w:rsidRDefault="00C06562">
      <w:pPr>
        <w:spacing w:line="276" w:lineRule="auto"/>
        <w:ind w:left="1247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W KOŚCIERZYNIE</w:t>
      </w:r>
    </w:p>
    <w:p w:rsidR="0031795B" w:rsidRDefault="00C06562">
      <w:pPr>
        <w:spacing w:line="276" w:lineRule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______________________________________________________________________________</w:t>
      </w:r>
    </w:p>
    <w:p w:rsidR="0031795B" w:rsidRDefault="00C06562">
      <w:pPr>
        <w:spacing w:line="276" w:lineRule="auto"/>
        <w:ind w:left="4932"/>
        <w:rPr>
          <w:rFonts w:ascii="Lato" w:hAnsi="Lato" w:cs="Times New Roman" w:hint="eastAsia"/>
        </w:rPr>
      </w:pPr>
      <w:r>
        <w:rPr>
          <w:rFonts w:ascii="Lato" w:hAnsi="Lato" w:cs="Times New Roman"/>
        </w:rPr>
        <w:t>Kościerzyna, dnia 4 kwietnia 2025 roku</w:t>
      </w:r>
    </w:p>
    <w:p w:rsidR="0031795B" w:rsidRDefault="00C06562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I LICYTACJI RUCHOMOŚCI</w:t>
      </w:r>
    </w:p>
    <w:p w:rsidR="0031795B" w:rsidRDefault="00C06562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31795B" w:rsidRDefault="00C06562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informuję o sprzedaży w </w:t>
      </w:r>
      <w:r>
        <w:rPr>
          <w:rFonts w:ascii="Lato" w:hAnsi="Lato"/>
          <w:bCs/>
          <w:sz w:val="24"/>
          <w:szCs w:val="24"/>
        </w:rPr>
        <w:t>drodze I licytacji publicznej ruchomości należącej do Pana Filipa Domaszk</w:t>
      </w:r>
    </w:p>
    <w:p w:rsidR="0031795B" w:rsidRDefault="00C06562">
      <w:pPr>
        <w:spacing w:before="240" w:after="240"/>
        <w:rPr>
          <w:rFonts w:ascii="Lato" w:hAnsi="Lato" w:hint="eastAsia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b w:val="0"/>
          <w:color w:val="000000"/>
          <w:sz w:val="24"/>
          <w:szCs w:val="24"/>
        </w:rPr>
        <w:t xml:space="preserve"> 23 maja 2025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 xml:space="preserve"> roku, godz. 10.00.</w:t>
      </w:r>
    </w:p>
    <w:p w:rsidR="0031795B" w:rsidRDefault="00C06562">
      <w:pPr>
        <w:spacing w:before="240" w:after="240"/>
        <w:ind w:left="1418" w:hanging="1418"/>
        <w:jc w:val="both"/>
      </w:pPr>
      <w:r>
        <w:rPr>
          <w:rStyle w:val="Nagwek2Znak"/>
          <w:rFonts w:ascii="Lato" w:hAnsi="Lato"/>
          <w:color w:val="C00000"/>
          <w:lang w:eastAsia="en-US" w:bidi="ar-SA"/>
        </w:rPr>
        <w:t>Miejsce</w:t>
      </w:r>
      <w:r>
        <w:rPr>
          <w:rStyle w:val="Nagwek2Znak"/>
          <w:rFonts w:ascii="Lato" w:hAnsi="Lato"/>
          <w:color w:val="FF0000"/>
          <w:lang w:eastAsia="en-US" w:bidi="ar-SA"/>
        </w:rPr>
        <w:tab/>
      </w:r>
      <w:r>
        <w:rPr>
          <w:rFonts w:ascii="Lato" w:hAnsi="Lato"/>
          <w:lang w:eastAsia="en-US" w:bidi="ar-SA"/>
        </w:rPr>
        <w:tab/>
        <w:t xml:space="preserve"> Urząd Skarbowy w Kościerzynie, ul. Staszica 6, pok. 17</w:t>
      </w:r>
    </w:p>
    <w:p w:rsidR="0031795B" w:rsidRDefault="00C06562">
      <w:pPr>
        <w:pStyle w:val="Nagwek2"/>
        <w:spacing w:line="240" w:lineRule="auto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Sprzedawana ruchomość</w:t>
      </w:r>
    </w:p>
    <w:p w:rsidR="0031795B" w:rsidRDefault="0031795B">
      <w:pPr>
        <w:pStyle w:val="Tekstpodstawowy"/>
      </w:pPr>
    </w:p>
    <w:tbl>
      <w:tblPr>
        <w:tblW w:w="901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13"/>
        <w:gridCol w:w="2783"/>
        <w:gridCol w:w="1255"/>
        <w:gridCol w:w="1367"/>
        <w:gridCol w:w="1232"/>
        <w:gridCol w:w="1764"/>
      </w:tblGrid>
      <w:tr w:rsidR="0031795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>L.p.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>Określenie ruchomości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>Wartość szacunkowa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 xml:space="preserve">Cena </w:t>
            </w:r>
            <w:r>
              <w:rPr>
                <w:rFonts w:ascii="Lato" w:hAnsi="Lato" w:cs="Arial"/>
                <w:b/>
                <w:bCs/>
              </w:rPr>
              <w:t>wywołania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>Wadium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/>
                <w:bCs/>
              </w:rPr>
              <w:t>Uwagi</w:t>
            </w:r>
          </w:p>
        </w:tc>
      </w:tr>
      <w:tr w:rsidR="0031795B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Cs/>
              </w:rPr>
              <w:t>1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r>
              <w:rPr>
                <w:rFonts w:ascii="Lato" w:hAnsi="Lato"/>
                <w:sz w:val="22"/>
                <w:szCs w:val="22"/>
              </w:rPr>
              <w:t>Samochód osobowy van Volkswagen Crafter, rok prod. 2007, nr VIN: WV1ZZZ2EZ76034066, nr rej. GKS VR54.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Cs/>
              </w:rPr>
              <w:t>22.000,00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Cs/>
              </w:rPr>
              <w:t>16.500,00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pPr>
              <w:pStyle w:val="Standard"/>
              <w:widowControl w:val="0"/>
              <w:spacing w:after="0" w:line="240" w:lineRule="auto"/>
              <w:jc w:val="center"/>
              <w:rPr>
                <w:rFonts w:ascii="Lato" w:hAnsi="Lato"/>
              </w:rPr>
            </w:pPr>
            <w:r>
              <w:rPr>
                <w:rFonts w:ascii="Lato" w:hAnsi="Lato" w:cs="Arial"/>
                <w:bCs/>
              </w:rPr>
              <w:t>2.200,00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95B" w:rsidRDefault="00C06562">
            <w:pPr>
              <w:jc w:val="center"/>
              <w:rPr>
                <w:rFonts w:ascii="Lato" w:hAnsi="Lato" w:hint="eastAsia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Data pierwszej rejestracji: 04.05.2007</w:t>
            </w:r>
          </w:p>
        </w:tc>
      </w:tr>
    </w:tbl>
    <w:p w:rsidR="0031795B" w:rsidRDefault="0031795B">
      <w:pPr>
        <w:pStyle w:val="Tekstpodstawowy"/>
      </w:pPr>
    </w:p>
    <w:p w:rsidR="0031795B" w:rsidRDefault="00C06562">
      <w:pPr>
        <w:suppressAutoHyphens/>
        <w:spacing w:line="276" w:lineRule="auto"/>
        <w:jc w:val="both"/>
        <w:rPr>
          <w:rFonts w:ascii="Lato" w:hAnsi="Lato" w:hint="eastAsia"/>
        </w:rPr>
      </w:pPr>
      <w:r>
        <w:rPr>
          <w:rFonts w:ascii="Lato" w:hAnsi="Lato"/>
          <w:sz w:val="22"/>
          <w:szCs w:val="22"/>
        </w:rPr>
        <w:t xml:space="preserve">Cena wywołania wynosi 3/4 wartości szacunkowej zajętej </w:t>
      </w:r>
      <w:r>
        <w:rPr>
          <w:rFonts w:ascii="Lato" w:hAnsi="Lato"/>
          <w:sz w:val="22"/>
          <w:szCs w:val="22"/>
        </w:rPr>
        <w:t>ruchomości.</w:t>
      </w:r>
    </w:p>
    <w:p w:rsidR="0031795B" w:rsidRDefault="0031795B">
      <w:pPr>
        <w:suppressAutoHyphens/>
        <w:spacing w:line="276" w:lineRule="auto"/>
        <w:jc w:val="both"/>
        <w:rPr>
          <w:sz w:val="22"/>
          <w:szCs w:val="22"/>
        </w:rPr>
      </w:pPr>
    </w:p>
    <w:p w:rsidR="0031795B" w:rsidRDefault="00C06562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b/>
          <w:bCs/>
          <w:color w:val="C9211E"/>
          <w:sz w:val="28"/>
          <w:szCs w:val="28"/>
        </w:rPr>
        <w:t>Wadium</w:t>
      </w:r>
    </w:p>
    <w:p w:rsidR="0031795B" w:rsidRDefault="0031795B">
      <w:pPr>
        <w:pStyle w:val="Tekstpodstawowy"/>
        <w:suppressAutoHyphens/>
        <w:spacing w:after="0" w:line="276" w:lineRule="auto"/>
        <w:jc w:val="both"/>
        <w:rPr>
          <w:color w:val="000000"/>
        </w:rPr>
      </w:pPr>
    </w:p>
    <w:p w:rsidR="0031795B" w:rsidRDefault="00C06562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Warunkiem przystąpienia do licytacji ruchomości jest wpłata wadium.</w:t>
      </w:r>
    </w:p>
    <w:p w:rsidR="0031795B" w:rsidRDefault="0031795B">
      <w:pPr>
        <w:pStyle w:val="Tekstpodstawowy"/>
        <w:suppressAutoHyphens/>
        <w:spacing w:after="0" w:line="276" w:lineRule="auto"/>
        <w:jc w:val="both"/>
        <w:rPr>
          <w:color w:val="000000"/>
        </w:rPr>
      </w:pPr>
    </w:p>
    <w:p w:rsidR="0031795B" w:rsidRDefault="00C06562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Wadium można uiścić:</w:t>
      </w:r>
    </w:p>
    <w:p w:rsidR="0031795B" w:rsidRDefault="00C06562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1) dokonując przelewu na rachunek depozytowy organu egzekucyjnego:</w:t>
      </w:r>
    </w:p>
    <w:p w:rsidR="0031795B" w:rsidRDefault="00C06562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Urząd Skarbowy w Kościerzynie nr 03 1010 1140 0144 3013 9120 0000.</w:t>
      </w:r>
    </w:p>
    <w:p w:rsidR="0031795B" w:rsidRDefault="00C06562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W treści pr</w:t>
      </w:r>
      <w:r>
        <w:rPr>
          <w:rFonts w:ascii="Lato" w:hAnsi="Lato"/>
          <w:color w:val="000000"/>
        </w:rPr>
        <w:t>zelewu proszę zamieścić słowo „Wadium” i oznaczenie ruchomości, której dotyczy wpłata.</w:t>
      </w:r>
    </w:p>
    <w:p w:rsidR="0031795B" w:rsidRDefault="00C06562">
      <w:pPr>
        <w:pStyle w:val="Tekstpodstawowy"/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Wadium w postaci przelewu uznam za złożone, jeżeli wpłata zostanie uznana na naszym rachunku bankowym najpóźniej w dniu poprzedzającym dzień licytacji.</w:t>
      </w:r>
    </w:p>
    <w:p w:rsidR="0031795B" w:rsidRDefault="00C06562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  <w:sectPr w:rsidR="0031795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1134" w:bottom="1544" w:left="1417" w:header="0" w:footer="709" w:gutter="0"/>
          <w:cols w:space="708"/>
          <w:formProt w:val="0"/>
          <w:docGrid w:linePitch="312"/>
        </w:sectPr>
      </w:pPr>
      <w:r>
        <w:rPr>
          <w:rFonts w:ascii="Lato" w:hAnsi="Lato"/>
          <w:color w:val="000000"/>
        </w:rPr>
        <w:t xml:space="preserve">2) gotówką do rąk pracownika organu egzekucyjnego w Urzędzie Skarbowym w </w:t>
      </w:r>
    </w:p>
    <w:p w:rsidR="0031795B" w:rsidRDefault="00C06562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lastRenderedPageBreak/>
        <w:t>Kościerzynie pokój 17 (nie później niż na godzinę przed terminem rozpoczęcia licytacji).</w:t>
      </w:r>
    </w:p>
    <w:p w:rsidR="0031795B" w:rsidRDefault="00C06562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3) bezgotówkowo pr</w:t>
      </w:r>
      <w:r>
        <w:rPr>
          <w:rFonts w:ascii="Lato" w:hAnsi="Lato"/>
          <w:color w:val="000000"/>
        </w:rPr>
        <w:t>zy użyciu terminala płatniczego w Urzędzie Skarbowym w Kościerzynie pokój 17  (nie później niż na godzinę przed terminem rozpoczęcia licytacji);</w:t>
      </w:r>
    </w:p>
    <w:p w:rsidR="0031795B" w:rsidRDefault="0031795B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color w:val="000000"/>
        </w:rPr>
      </w:pPr>
    </w:p>
    <w:p w:rsidR="0031795B" w:rsidRDefault="00C06562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  <w:u w:val="single"/>
        </w:rPr>
      </w:pPr>
      <w:r>
        <w:rPr>
          <w:rFonts w:ascii="Lato" w:hAnsi="Lato"/>
          <w:color w:val="000000"/>
          <w:u w:val="single"/>
        </w:rPr>
        <w:t>Zatrzymam wadium złożone przez licytanta, któremu udzielimy przybicia.</w:t>
      </w:r>
    </w:p>
    <w:p w:rsidR="0031795B" w:rsidRDefault="0031795B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color w:val="000000"/>
        </w:rPr>
      </w:pPr>
    </w:p>
    <w:p w:rsidR="0031795B" w:rsidRDefault="00C06562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Pozostałym licytantom zwrócę wadium:</w:t>
      </w:r>
    </w:p>
    <w:p w:rsidR="0031795B" w:rsidRDefault="00C06562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1) wpłacone bezgotówkowo: nie później niż w terminie 7 dni roboczych od dnia licytacji;</w:t>
      </w:r>
    </w:p>
    <w:p w:rsidR="0031795B" w:rsidRDefault="00C06562">
      <w:pPr>
        <w:pStyle w:val="Tekstpodstawowy"/>
        <w:tabs>
          <w:tab w:val="left" w:pos="1188"/>
        </w:tabs>
        <w:suppressAutoHyphens/>
        <w:spacing w:after="0" w:line="276" w:lineRule="auto"/>
        <w:jc w:val="both"/>
        <w:rPr>
          <w:rFonts w:ascii="Lato" w:hAnsi="Lato" w:hint="eastAsia"/>
        </w:rPr>
      </w:pPr>
      <w:r>
        <w:rPr>
          <w:rFonts w:ascii="Lato" w:hAnsi="Lato"/>
          <w:color w:val="000000"/>
        </w:rPr>
        <w:t>2) wpłacone w gotówce – niezwłocznie.</w:t>
      </w:r>
    </w:p>
    <w:p w:rsidR="0031795B" w:rsidRDefault="0031795B">
      <w:pPr>
        <w:suppressAutoHyphens/>
        <w:spacing w:line="276" w:lineRule="auto"/>
        <w:rPr>
          <w:rFonts w:ascii="Lato" w:hAnsi="Lato" w:hint="eastAsia"/>
        </w:rPr>
      </w:pPr>
    </w:p>
    <w:p w:rsidR="0031795B" w:rsidRDefault="00C06562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:rsidR="0031795B" w:rsidRDefault="00C06562">
      <w:pPr>
        <w:pStyle w:val="Standard"/>
        <w:spacing w:before="120" w:after="0" w:line="276" w:lineRule="auto"/>
        <w:jc w:val="both"/>
        <w:rPr>
          <w:rFonts w:ascii="Lato" w:hAnsi="Lato"/>
          <w:i/>
          <w:color w:val="117A02" w:themeColor="accent1" w:themeShade="BF"/>
          <w:sz w:val="24"/>
          <w:szCs w:val="24"/>
          <w:lang w:eastAsia="pl-PL"/>
        </w:rPr>
      </w:pPr>
      <w:r>
        <w:rPr>
          <w:rFonts w:ascii="Lato" w:hAnsi="Lato"/>
          <w:color w:val="000000"/>
          <w:sz w:val="24"/>
          <w:szCs w:val="24"/>
        </w:rPr>
        <w:t>Ruchomości można oglądać w dniu 23</w:t>
      </w:r>
      <w:r>
        <w:rPr>
          <w:rFonts w:ascii="Lato" w:hAnsi="Lato"/>
          <w:color w:val="000000"/>
          <w:sz w:val="24"/>
          <w:szCs w:val="24"/>
        </w:rPr>
        <w:t xml:space="preserve"> maja 2025 roku od godz. 9.30 do godz. 10.00  na parkingu przy Urzędzie Skarbowym w Kościerzynie przy ul. Staszica 6.</w:t>
      </w:r>
    </w:p>
    <w:p w:rsidR="0031795B" w:rsidRDefault="0031795B">
      <w:pPr>
        <w:pStyle w:val="Standard"/>
        <w:spacing w:before="120" w:after="0" w:line="276" w:lineRule="auto"/>
        <w:jc w:val="both"/>
        <w:rPr>
          <w:rFonts w:ascii="Lato" w:hAnsi="Lato"/>
          <w:i/>
          <w:color w:val="117A02" w:themeColor="accent1" w:themeShade="BF"/>
          <w:sz w:val="24"/>
          <w:szCs w:val="24"/>
          <w:lang w:eastAsia="pl-PL"/>
        </w:rPr>
      </w:pPr>
    </w:p>
    <w:p w:rsidR="0031795B" w:rsidRDefault="00C06562">
      <w:pPr>
        <w:pStyle w:val="Standard"/>
        <w:spacing w:before="120" w:after="0" w:line="240" w:lineRule="auto"/>
        <w:jc w:val="both"/>
        <w:rPr>
          <w:rFonts w:ascii="Lato" w:hAnsi="Lato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31795B" w:rsidRDefault="00C06562">
      <w:pPr>
        <w:pStyle w:val="Standard"/>
        <w:spacing w:before="120" w:after="0" w:line="276" w:lineRule="auto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>Sprzedaż nie jest opodatkowana podatkiem od towarów i usług.</w:t>
      </w:r>
    </w:p>
    <w:p w:rsidR="0031795B" w:rsidRDefault="00C06562">
      <w:pPr>
        <w:pStyle w:val="Standard"/>
        <w:spacing w:before="120" w:after="0" w:line="276" w:lineRule="auto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>Nabywca obowiązany jest niezwłocznie po udzieleniu mu p</w:t>
      </w:r>
      <w:r>
        <w:rPr>
          <w:rFonts w:ascii="Lato" w:hAnsi="Lato"/>
          <w:bCs/>
          <w:sz w:val="24"/>
          <w:szCs w:val="24"/>
        </w:rPr>
        <w:t>rzybicia uiścić przynajmniej cenę wywołania w gotówce lub bezgotówkowo za pośrednictwem terminala płatniczego. Jeżeli ceny tej nabywca nie uiści, traci prawo wynikłe z przybicia i nie może uczestniczyć w licytacji tej samej ruchomości. Pozostałą do zapłaty</w:t>
      </w:r>
      <w:r>
        <w:rPr>
          <w:rFonts w:ascii="Lato" w:hAnsi="Lato"/>
          <w:bCs/>
          <w:sz w:val="24"/>
          <w:szCs w:val="24"/>
        </w:rPr>
        <w:t xml:space="preserve"> część wylicytowanej kwoty należy wpłacić na ww. rachunek bankowy organowi egzekucyjnemu niezwłocznie</w:t>
      </w:r>
      <w:r>
        <w:rPr>
          <w:rFonts w:ascii="Lato" w:hAnsi="Lato"/>
          <w:bCs/>
          <w:color w:val="000000"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t xml:space="preserve"> nie później niż w dniu następującym po dniu licytacji.</w:t>
      </w:r>
    </w:p>
    <w:p w:rsidR="0031795B" w:rsidRDefault="00C06562">
      <w:pPr>
        <w:pStyle w:val="Standard"/>
        <w:spacing w:before="120" w:after="0" w:line="240" w:lineRule="auto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color w:val="000000"/>
          <w:sz w:val="24"/>
          <w:szCs w:val="24"/>
        </w:rPr>
        <w:t>Referacie</w:t>
      </w:r>
      <w:r>
        <w:rPr>
          <w:rFonts w:ascii="Lato" w:hAnsi="Lato"/>
          <w:bCs/>
          <w:color w:val="117A02" w:themeColor="accent1" w:themeShade="BF"/>
          <w:sz w:val="24"/>
          <w:szCs w:val="24"/>
        </w:rPr>
        <w:t xml:space="preserve">  </w:t>
      </w:r>
      <w:r>
        <w:rPr>
          <w:rFonts w:ascii="Lato" w:hAnsi="Lato"/>
          <w:bCs/>
          <w:sz w:val="24"/>
          <w:szCs w:val="24"/>
        </w:rPr>
        <w:t>Egzekucji Administracyjnej:</w:t>
      </w:r>
    </w:p>
    <w:p w:rsidR="0031795B" w:rsidRDefault="0031795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31795B" w:rsidRDefault="00C06562">
      <w:pPr>
        <w:pStyle w:val="TekstpismaKAS"/>
        <w:rPr>
          <w:rFonts w:ascii="Lato" w:hAnsi="Lato" w:hint="eastAsia"/>
        </w:rPr>
      </w:pPr>
      <w:r>
        <w:rPr>
          <w:noProof/>
          <w:lang w:eastAsia="pl-PL" w:bidi="ar-SA"/>
        </w:rPr>
        <w:drawing>
          <wp:anchor distT="0" distB="635" distL="114300" distR="114935" simplePos="0" relativeHeight="5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telefonicznie – po</w:t>
      </w:r>
      <w:r>
        <w:rPr>
          <w:rFonts w:ascii="Lato" w:hAnsi="Lato"/>
        </w:rPr>
        <w:t xml:space="preserve">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  <w:t>58 680 89 25</w:t>
      </w:r>
    </w:p>
    <w:p w:rsidR="0031795B" w:rsidRDefault="00C06562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4">
        <w:r>
          <w:rPr>
            <w:rStyle w:val="Hipercze"/>
            <w:rFonts w:ascii="Lato" w:hAnsi="Lato"/>
            <w:bCs/>
            <w:sz w:val="24"/>
            <w:szCs w:val="24"/>
          </w:rPr>
          <w:t>https://www.pomorskie.kas.gov.pl/urzad-skarbowy-w-koscierzynie</w:t>
        </w:r>
      </w:hyperlink>
      <w:r>
        <w:rPr>
          <w:rFonts w:ascii="Lato" w:hAnsi="Lato"/>
          <w:bCs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:rsidR="0031795B" w:rsidRDefault="00C06562">
      <w:pPr>
        <w:pStyle w:val="rdtytuKAS"/>
        <w:rPr>
          <w:rFonts w:ascii="Lato" w:hAnsi="Lato"/>
          <w:b w:val="0"/>
          <w:color w:val="000000"/>
          <w:sz w:val="24"/>
          <w:szCs w:val="24"/>
          <w:lang w:eastAsia="pl-PL"/>
        </w:rPr>
      </w:pPr>
      <w:r>
        <w:rPr>
          <w:rFonts w:ascii="Lato" w:hAnsi="Lato"/>
          <w:b w:val="0"/>
          <w:color w:val="000000"/>
          <w:sz w:val="24"/>
          <w:szCs w:val="24"/>
          <w:lang w:eastAsia="pl-PL"/>
        </w:rPr>
        <w:t xml:space="preserve">Zastrzegam sobie prawo </w:t>
      </w:r>
      <w:r>
        <w:rPr>
          <w:rFonts w:ascii="Lato" w:hAnsi="Lato"/>
          <w:b w:val="0"/>
          <w:color w:val="000000"/>
          <w:sz w:val="24"/>
          <w:szCs w:val="24"/>
          <w:lang w:eastAsia="pl-PL"/>
        </w:rPr>
        <w:t>odwołania licytacji bez podania przyczyny i nie odpowiadam za wady ukryte i stan techniczny ruchomości.</w:t>
      </w:r>
    </w:p>
    <w:p w:rsidR="0031795B" w:rsidRDefault="0031795B">
      <w:pPr>
        <w:pStyle w:val="rdtytuKAS"/>
        <w:rPr>
          <w:rFonts w:ascii="Lato" w:hAnsi="Lato"/>
          <w:b w:val="0"/>
          <w:color w:val="000000"/>
          <w:sz w:val="24"/>
          <w:szCs w:val="24"/>
          <w:lang w:eastAsia="pl-PL"/>
        </w:rPr>
      </w:pPr>
    </w:p>
    <w:p w:rsidR="0031795B" w:rsidRDefault="00C06562">
      <w:pPr>
        <w:pStyle w:val="rdtytuKAS"/>
        <w:rPr>
          <w:rFonts w:ascii="Lato" w:hAnsi="Lato"/>
          <w:color w:val="C00000"/>
          <w:lang w:eastAsia="pl-PL"/>
        </w:rPr>
      </w:pPr>
      <w:r>
        <w:rPr>
          <w:rFonts w:ascii="Lato" w:hAnsi="Lato"/>
          <w:color w:val="C00000"/>
          <w:lang w:eastAsia="pl-PL"/>
        </w:rPr>
        <w:t xml:space="preserve">Przepisy prawa: </w:t>
      </w:r>
    </w:p>
    <w:p w:rsidR="0031795B" w:rsidRDefault="00C06562">
      <w:pPr>
        <w:pStyle w:val="TekstpismaKAS"/>
        <w:suppressAutoHyphens/>
        <w:spacing w:before="0"/>
        <w:contextualSpacing w:val="0"/>
        <w:rPr>
          <w:rFonts w:ascii="Lato" w:hAnsi="Lato" w:hint="eastAsia"/>
          <w:lang w:eastAsia="pl-PL"/>
        </w:rPr>
      </w:pPr>
      <w:r>
        <w:rPr>
          <w:rStyle w:val="Hipercze"/>
          <w:rFonts w:ascii="Lato" w:hAnsi="Lato"/>
          <w:b/>
          <w:bCs/>
          <w:color w:val="auto"/>
          <w:sz w:val="20"/>
          <w:szCs w:val="20"/>
          <w:lang w:eastAsia="pl-PL"/>
        </w:rPr>
        <w:t xml:space="preserve">Art. 105 – art. 105a, art. 105c - 107 ustawy z dnia 17 czerwca 1966 r. o postępowaniu egzekucyjnym w administracji (Dz.U. z 2025 r. </w:t>
      </w:r>
      <w:r>
        <w:rPr>
          <w:rStyle w:val="Hipercze"/>
          <w:rFonts w:ascii="Lato" w:hAnsi="Lato"/>
          <w:b/>
          <w:bCs/>
          <w:color w:val="auto"/>
          <w:sz w:val="20"/>
          <w:szCs w:val="20"/>
          <w:lang w:eastAsia="pl-PL"/>
        </w:rPr>
        <w:t>poz. 132, z późn. zm.).</w:t>
      </w:r>
    </w:p>
    <w:sectPr w:rsidR="0031795B">
      <w:footerReference w:type="even" r:id="rId15"/>
      <w:footerReference w:type="default" r:id="rId16"/>
      <w:footerReference w:type="first" r:id="rId17"/>
      <w:pgSz w:w="11906" w:h="16838"/>
      <w:pgMar w:top="1134" w:right="1134" w:bottom="1218" w:left="1417" w:header="0" w:footer="567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562" w:rsidRDefault="00C06562">
      <w:r>
        <w:separator/>
      </w:r>
    </w:p>
  </w:endnote>
  <w:endnote w:type="continuationSeparator" w:id="0">
    <w:p w:rsidR="00C06562" w:rsidRDefault="00C0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5B" w:rsidRDefault="003179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5B" w:rsidRDefault="0031795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5B" w:rsidRDefault="0031795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5B" w:rsidRDefault="0031795B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5B" w:rsidRDefault="00C06562"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 w:rsidR="0031795B" w:rsidRDefault="00C06562"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ab/>
    </w:r>
    <w:r>
      <w:rPr>
        <w:rFonts w:ascii="Arial" w:hAnsi="Arial"/>
        <w:color w:val="999999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fldChar w:fldCharType="begin"/>
    </w:r>
    <w:r>
      <w:rPr>
        <w:rFonts w:ascii="Arial" w:hAnsi="Arial"/>
        <w:b/>
        <w:bCs/>
        <w:color w:val="000000"/>
        <w:sz w:val="16"/>
        <w:szCs w:val="16"/>
      </w:rPr>
      <w:instrText xml:space="preserve"> PAGE </w:instrText>
    </w:r>
    <w:r>
      <w:rPr>
        <w:rFonts w:ascii="Arial" w:hAnsi="Arial"/>
        <w:b/>
        <w:bCs/>
        <w:color w:val="000000"/>
        <w:sz w:val="16"/>
        <w:szCs w:val="16"/>
      </w:rPr>
      <w:fldChar w:fldCharType="separate"/>
    </w:r>
    <w:r w:rsidR="006C5FBF">
      <w:rPr>
        <w:rFonts w:ascii="Arial" w:hAnsi="Arial"/>
        <w:b/>
        <w:bCs/>
        <w:noProof/>
        <w:color w:val="000000"/>
        <w:sz w:val="16"/>
        <w:szCs w:val="16"/>
      </w:rPr>
      <w:t>2</w:t>
    </w:r>
    <w:r>
      <w:rPr>
        <w:rFonts w:ascii="Arial" w:hAnsi="Arial"/>
        <w:b/>
        <w:bCs/>
        <w:color w:val="000000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5B" w:rsidRDefault="00C06562"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>_________________________________________________________________________________________________________</w:t>
    </w:r>
  </w:p>
  <w:p w:rsidR="0031795B" w:rsidRDefault="00C06562">
    <w:pPr>
      <w:pStyle w:val="Stopka"/>
      <w:rPr>
        <w:rFonts w:ascii="Arial" w:hAnsi="Arial"/>
        <w:color w:val="999999"/>
        <w:sz w:val="16"/>
        <w:szCs w:val="16"/>
      </w:rPr>
    </w:pPr>
    <w:r>
      <w:rPr>
        <w:rFonts w:ascii="Arial" w:hAnsi="Arial"/>
        <w:color w:val="999999"/>
        <w:sz w:val="16"/>
        <w:szCs w:val="16"/>
      </w:rPr>
      <w:tab/>
    </w:r>
    <w:r>
      <w:rPr>
        <w:rFonts w:ascii="Arial" w:hAnsi="Arial"/>
        <w:color w:val="999999"/>
        <w:sz w:val="16"/>
        <w:szCs w:val="16"/>
      </w:rPr>
      <w:tab/>
    </w:r>
    <w:r>
      <w:rPr>
        <w:rFonts w:ascii="Arial" w:hAnsi="Arial"/>
        <w:b/>
        <w:bCs/>
        <w:color w:val="000000"/>
        <w:sz w:val="16"/>
        <w:szCs w:val="16"/>
      </w:rPr>
      <w:fldChar w:fldCharType="begin"/>
    </w:r>
    <w:r>
      <w:rPr>
        <w:rFonts w:ascii="Arial" w:hAnsi="Arial"/>
        <w:b/>
        <w:bCs/>
        <w:color w:val="000000"/>
        <w:sz w:val="16"/>
        <w:szCs w:val="16"/>
      </w:rPr>
      <w:instrText xml:space="preserve"> PAGE </w:instrText>
    </w:r>
    <w:r>
      <w:rPr>
        <w:rFonts w:ascii="Arial" w:hAnsi="Arial"/>
        <w:b/>
        <w:bCs/>
        <w:color w:val="000000"/>
        <w:sz w:val="16"/>
        <w:szCs w:val="16"/>
      </w:rPr>
      <w:fldChar w:fldCharType="separate"/>
    </w:r>
    <w:r>
      <w:rPr>
        <w:rFonts w:ascii="Arial" w:hAnsi="Arial"/>
        <w:b/>
        <w:bCs/>
        <w:color w:val="000000"/>
        <w:sz w:val="16"/>
        <w:szCs w:val="16"/>
      </w:rPr>
      <w:t>2</w:t>
    </w:r>
    <w:r>
      <w:rPr>
        <w:rFonts w:ascii="Arial" w:hAnsi="Arial"/>
        <w:b/>
        <w:bCs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562" w:rsidRDefault="00C06562">
      <w:r>
        <w:separator/>
      </w:r>
    </w:p>
  </w:footnote>
  <w:footnote w:type="continuationSeparator" w:id="0">
    <w:p w:rsidR="00C06562" w:rsidRDefault="00C06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BF" w:rsidRDefault="006C5F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BF" w:rsidRDefault="006C5F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FBF" w:rsidRDefault="006C5F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5B"/>
    <w:rsid w:val="0031795B"/>
    <w:rsid w:val="006C5FBF"/>
    <w:rsid w:val="00C0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1FD1E5-07EB-4B0F-8DB1-1FC35F48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 w:val="0"/>
      <w:overflowPunct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keepLines/>
      <w:spacing w:before="24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paragraph" w:styleId="Nagwek3">
    <w:name w:val="heading 3"/>
    <w:basedOn w:val="Normalny"/>
    <w:next w:val="Normalny"/>
    <w:qFormat/>
    <w:pPr>
      <w:keepNext/>
      <w:keepLines/>
      <w:spacing w:before="40"/>
      <w:outlineLvl w:val="2"/>
    </w:pPr>
    <w:rPr>
      <w:rFonts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80"/>
      <w:u w:val="single"/>
    </w:rPr>
  </w:style>
  <w:style w:type="character" w:customStyle="1" w:styleId="Nagwek2Znak">
    <w:name w:val="Nagłówek 2 Znak"/>
    <w:basedOn w:val="Domylnaczcionkaakapitu"/>
    <w:qFormat/>
    <w:rPr>
      <w:rFonts w:eastAsiaTheme="majorEastAsia" w:cstheme="majorBidi"/>
      <w:b/>
      <w:color w:val="E31837"/>
      <w:sz w:val="28"/>
      <w:szCs w:val="2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TytupismaKAS">
    <w:name w:val="Tytuł pisma KAS"/>
    <w:basedOn w:val="Nagwek1"/>
    <w:qFormat/>
    <w:pPr>
      <w:spacing w:after="360"/>
      <w:contextualSpacing/>
    </w:pPr>
    <w:rPr>
      <w:rFonts w:cstheme="minorHAnsi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Theme="minorHAnsi" w:eastAsiaTheme="minorHAnsi" w:hAnsiTheme="minorHAnsi"/>
      <w:kern w:val="0"/>
      <w:sz w:val="22"/>
      <w:szCs w:val="22"/>
      <w:lang w:eastAsia="en-US" w:bidi="ar-SA"/>
    </w:rPr>
  </w:style>
  <w:style w:type="paragraph" w:customStyle="1" w:styleId="TekstpismaKAS">
    <w:name w:val="Tekst pisma KAS"/>
    <w:basedOn w:val="Tekstpodstawowy"/>
    <w:qFormat/>
    <w:pPr>
      <w:spacing w:before="120" w:after="0" w:line="276" w:lineRule="auto"/>
      <w:contextualSpacing/>
    </w:pPr>
    <w:rPr>
      <w:rFonts w:cstheme="minorHAnsi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rdtytuKAS">
    <w:name w:val="Śródtytuł KAS"/>
    <w:basedOn w:val="Nagwek2"/>
    <w:qFormat/>
    <w:pPr>
      <w:contextualSpacing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www.xxx.kas.gov.pl/urzad-skarbowy-xxx" TargetMode="Externa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Wietrzyńska Dagmara</dc:creator>
  <dc:description/>
  <cp:lastModifiedBy>Wietrzyńska Dagmara</cp:lastModifiedBy>
  <cp:revision>2</cp:revision>
  <cp:lastPrinted>2025-04-07T10:38:00Z</cp:lastPrinted>
  <dcterms:created xsi:type="dcterms:W3CDTF">2025-04-07T12:45:00Z</dcterms:created>
  <dcterms:modified xsi:type="dcterms:W3CDTF">2025-04-07T12:45:00Z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UxC4dwLulzfINJ8nQH+xvX5LNGipWa4BRSZhPgxsCvnle4YYzVhTDtwI6eMQRGANOfLOO0Osj6HE43uCp+zqDQ==</vt:lpwstr>
  </property>
  <property fmtid="{D5CDD505-2E9C-101B-9397-08002B2CF9AE}" pid="4" name="MFClassificationDate">
    <vt:lpwstr>2025-04-07T14:45:34.1487070+02:00</vt:lpwstr>
  </property>
  <property fmtid="{D5CDD505-2E9C-101B-9397-08002B2CF9AE}" pid="5" name="MFClassifiedBySID">
    <vt:lpwstr>UxC4dwLulzfINJ8nQH+xvX5LNGipWa4BRSZhPgxsCvm42mrIC/DSDv0ggS+FjUN/2v1BBotkLlY5aAiEhoi6ubOfItH2NwT+2IoXWVY+DV0ewJDNgHaTVfENAWp9dEKl</vt:lpwstr>
  </property>
  <property fmtid="{D5CDD505-2E9C-101B-9397-08002B2CF9AE}" pid="6" name="MFGRNItemId">
    <vt:lpwstr>GRN-398e839e-2a4e-4a6d-b5b2-924aadf5b3ad</vt:lpwstr>
  </property>
  <property fmtid="{D5CDD505-2E9C-101B-9397-08002B2CF9AE}" pid="7" name="MFHash">
    <vt:lpwstr>VuLROSe21XdJmEuFzHi/tgtBIWuaPrQfsXiVSrou5mM=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