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EE0C" w14:textId="46A19130" w:rsidR="0067340C" w:rsidRPr="00396F33" w:rsidRDefault="0067340C" w:rsidP="0067340C">
      <w:pPr>
        <w:pStyle w:val="Nagwek11"/>
        <w:spacing w:before="120" w:line="276" w:lineRule="auto"/>
        <w:rPr>
          <w:rFonts w:ascii="Lato" w:hAnsi="Lato" w:cs="Calibri"/>
          <w:sz w:val="28"/>
          <w:szCs w:val="28"/>
        </w:rPr>
      </w:pPr>
      <w:r w:rsidRPr="00396F33">
        <w:rPr>
          <w:rFonts w:ascii="Lato" w:hAnsi="Lato" w:cs="Calibri"/>
          <w:sz w:val="28"/>
          <w:szCs w:val="28"/>
        </w:rPr>
        <w:t xml:space="preserve">OBWIESZCZENIE O </w:t>
      </w:r>
      <w:r w:rsidR="00366108">
        <w:rPr>
          <w:rFonts w:ascii="Lato" w:hAnsi="Lato" w:cs="Calibri"/>
          <w:sz w:val="28"/>
          <w:szCs w:val="28"/>
        </w:rPr>
        <w:t>TRZECIEJ</w:t>
      </w:r>
      <w:r>
        <w:rPr>
          <w:rFonts w:ascii="Lato" w:hAnsi="Lato" w:cs="Calibri"/>
          <w:sz w:val="28"/>
          <w:szCs w:val="28"/>
        </w:rPr>
        <w:t xml:space="preserve"> LICYTACJI NIERUCHOMOŚCI</w:t>
      </w:r>
    </w:p>
    <w:p w14:paraId="27861BAD" w14:textId="77777777" w:rsidR="0067340C" w:rsidRPr="00573136" w:rsidRDefault="0067340C" w:rsidP="0067340C">
      <w:pPr>
        <w:pStyle w:val="Standard"/>
        <w:spacing w:before="240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5EE0831A" w14:textId="73ACD015" w:rsidR="0067340C" w:rsidRPr="005C1EA5" w:rsidRDefault="0067340C" w:rsidP="0067340C">
      <w:pPr>
        <w:pStyle w:val="Standard"/>
        <w:spacing w:before="120" w:after="0" w:line="276" w:lineRule="auto"/>
        <w:jc w:val="both"/>
        <w:rPr>
          <w:rFonts w:ascii="Lato" w:hAnsi="Lato" w:cs="Calibri"/>
          <w:sz w:val="24"/>
          <w:szCs w:val="24"/>
        </w:rPr>
      </w:pPr>
      <w:r w:rsidRPr="005C1EA5">
        <w:rPr>
          <w:rFonts w:ascii="Lato" w:hAnsi="Lato"/>
          <w:bCs/>
          <w:sz w:val="24"/>
          <w:szCs w:val="24"/>
        </w:rPr>
        <w:t xml:space="preserve">informuję o sprzedaży w drodze licytacji publicznej </w:t>
      </w:r>
      <w:r w:rsidRPr="005C1EA5">
        <w:rPr>
          <w:rFonts w:ascii="Lato" w:hAnsi="Lato" w:cs="Calibri"/>
          <w:sz w:val="24"/>
          <w:szCs w:val="24"/>
        </w:rPr>
        <w:t xml:space="preserve">nieruchomości gruntowej niezabudowanej, </w:t>
      </w:r>
      <w:r w:rsidRPr="005C1EA5">
        <w:rPr>
          <w:rFonts w:ascii="Lato" w:hAnsi="Lato"/>
          <w:sz w:val="24"/>
          <w:szCs w:val="24"/>
        </w:rPr>
        <w:t>położonej w miejscowości Stare Miasto, gm</w:t>
      </w:r>
      <w:r>
        <w:rPr>
          <w:rFonts w:ascii="Lato" w:hAnsi="Lato"/>
          <w:sz w:val="24"/>
          <w:szCs w:val="24"/>
        </w:rPr>
        <w:t>ina</w:t>
      </w:r>
      <w:r w:rsidRPr="005C1EA5">
        <w:rPr>
          <w:rFonts w:ascii="Lato" w:hAnsi="Lato"/>
          <w:sz w:val="24"/>
          <w:szCs w:val="24"/>
        </w:rPr>
        <w:t xml:space="preserve"> Stary Dzierzgoń, na gruntach działki n</w:t>
      </w:r>
      <w:r>
        <w:rPr>
          <w:rFonts w:ascii="Lato" w:hAnsi="Lato"/>
          <w:sz w:val="24"/>
          <w:szCs w:val="24"/>
        </w:rPr>
        <w:t>ume</w:t>
      </w:r>
      <w:r w:rsidRPr="005C1EA5">
        <w:rPr>
          <w:rFonts w:ascii="Lato" w:hAnsi="Lato"/>
          <w:sz w:val="24"/>
          <w:szCs w:val="24"/>
        </w:rPr>
        <w:t>r 339/1, o pow</w:t>
      </w:r>
      <w:r>
        <w:rPr>
          <w:rFonts w:ascii="Lato" w:hAnsi="Lato"/>
          <w:sz w:val="24"/>
          <w:szCs w:val="24"/>
        </w:rPr>
        <w:t xml:space="preserve">ierzchni </w:t>
      </w:r>
      <w:r w:rsidRPr="005C1EA5">
        <w:rPr>
          <w:rFonts w:ascii="Lato" w:hAnsi="Lato"/>
          <w:sz w:val="24"/>
          <w:szCs w:val="24"/>
        </w:rPr>
        <w:t>1,2600 ha, dla której Sąd Rejonowy w Kwidzynie VIII Zamiejscowy Wydział Ksiąg Wieczystych z</w:t>
      </w:r>
      <w:r>
        <w:rPr>
          <w:rFonts w:ascii="Lato" w:hAnsi="Lato"/>
          <w:sz w:val="24"/>
          <w:szCs w:val="24"/>
        </w:rPr>
        <w:t xml:space="preserve"> </w:t>
      </w:r>
      <w:r w:rsidRPr="005C1EA5">
        <w:rPr>
          <w:rFonts w:ascii="Lato" w:hAnsi="Lato"/>
          <w:sz w:val="24"/>
          <w:szCs w:val="24"/>
        </w:rPr>
        <w:t>s</w:t>
      </w:r>
      <w:r>
        <w:rPr>
          <w:rFonts w:ascii="Lato" w:hAnsi="Lato"/>
          <w:sz w:val="24"/>
          <w:szCs w:val="24"/>
        </w:rPr>
        <w:t>iedzibą</w:t>
      </w:r>
      <w:r w:rsidRPr="005C1EA5">
        <w:rPr>
          <w:rFonts w:ascii="Lato" w:hAnsi="Lato"/>
          <w:sz w:val="24"/>
          <w:szCs w:val="24"/>
        </w:rPr>
        <w:t xml:space="preserve"> w Sztumie prowadzi księgę wieczystą n</w:t>
      </w:r>
      <w:r>
        <w:rPr>
          <w:rFonts w:ascii="Lato" w:hAnsi="Lato"/>
          <w:sz w:val="24"/>
          <w:szCs w:val="24"/>
        </w:rPr>
        <w:t>ume</w:t>
      </w:r>
      <w:r w:rsidRPr="005C1EA5">
        <w:rPr>
          <w:rFonts w:ascii="Lato" w:hAnsi="Lato"/>
          <w:sz w:val="24"/>
          <w:szCs w:val="24"/>
        </w:rPr>
        <w:t>r GD2I/00000129/2</w:t>
      </w:r>
      <w:r>
        <w:rPr>
          <w:rFonts w:ascii="Lato" w:hAnsi="Lato"/>
          <w:sz w:val="24"/>
          <w:szCs w:val="24"/>
        </w:rPr>
        <w:t xml:space="preserve">, stanowiącej własność Pana Władysława </w:t>
      </w:r>
      <w:proofErr w:type="spellStart"/>
      <w:r>
        <w:rPr>
          <w:rFonts w:ascii="Lato" w:hAnsi="Lato"/>
          <w:sz w:val="24"/>
          <w:szCs w:val="24"/>
        </w:rPr>
        <w:t>Szul</w:t>
      </w:r>
      <w:proofErr w:type="spellEnd"/>
      <w:r>
        <w:rPr>
          <w:rFonts w:ascii="Lato" w:hAnsi="Lato"/>
          <w:sz w:val="24"/>
          <w:szCs w:val="24"/>
        </w:rPr>
        <w:t xml:space="preserve"> i Pani Elżbiety </w:t>
      </w:r>
      <w:proofErr w:type="spellStart"/>
      <w:r>
        <w:rPr>
          <w:rFonts w:ascii="Lato" w:hAnsi="Lato"/>
          <w:sz w:val="24"/>
          <w:szCs w:val="24"/>
        </w:rPr>
        <w:t>Szul</w:t>
      </w:r>
      <w:proofErr w:type="spellEnd"/>
      <w:r>
        <w:rPr>
          <w:rFonts w:ascii="Lato" w:hAnsi="Lato"/>
          <w:sz w:val="24"/>
          <w:szCs w:val="24"/>
        </w:rPr>
        <w:t>, na prawach wspólności ustawowej majątkowej małżeńskiej.</w:t>
      </w:r>
    </w:p>
    <w:p w14:paraId="661272AE" w14:textId="1245568A" w:rsidR="0067340C" w:rsidRDefault="0067340C" w:rsidP="0067340C">
      <w:pPr>
        <w:pStyle w:val="WW-Domylnie"/>
        <w:spacing w:before="120" w:line="276" w:lineRule="auto"/>
        <w:jc w:val="both"/>
        <w:rPr>
          <w:rFonts w:ascii="Lato" w:hAnsi="Lato" w:cstheme="minorHAnsi"/>
          <w:szCs w:val="24"/>
        </w:rPr>
      </w:pPr>
      <w:r w:rsidRPr="005C1EA5">
        <w:rPr>
          <w:rFonts w:ascii="Lato" w:hAnsi="Lato" w:cstheme="minorHAnsi"/>
          <w:szCs w:val="24"/>
        </w:rPr>
        <w:t xml:space="preserve">Działka oznaczona jest w ewidencji gruntów symbolem: </w:t>
      </w:r>
      <w:proofErr w:type="spellStart"/>
      <w:r w:rsidRPr="005C1EA5">
        <w:rPr>
          <w:rFonts w:ascii="Lato" w:hAnsi="Lato" w:cstheme="minorHAnsi"/>
          <w:szCs w:val="24"/>
        </w:rPr>
        <w:t>RIIIb</w:t>
      </w:r>
      <w:proofErr w:type="spellEnd"/>
      <w:r w:rsidRPr="005C1EA5">
        <w:rPr>
          <w:rFonts w:ascii="Lato" w:hAnsi="Lato" w:cstheme="minorHAnsi"/>
          <w:szCs w:val="24"/>
        </w:rPr>
        <w:t xml:space="preserve"> – grunty orne (pow</w:t>
      </w:r>
      <w:r>
        <w:rPr>
          <w:rFonts w:ascii="Lato" w:hAnsi="Lato" w:cstheme="minorHAnsi"/>
          <w:szCs w:val="24"/>
        </w:rPr>
        <w:t>ierzchnia</w:t>
      </w:r>
      <w:r w:rsidRPr="005C1EA5">
        <w:rPr>
          <w:rFonts w:ascii="Lato" w:hAnsi="Lato" w:cstheme="minorHAnsi"/>
          <w:szCs w:val="24"/>
        </w:rPr>
        <w:t xml:space="preserve"> 0,2700 ha), </w:t>
      </w:r>
      <w:proofErr w:type="spellStart"/>
      <w:r w:rsidRPr="005C1EA5">
        <w:rPr>
          <w:rFonts w:ascii="Lato" w:hAnsi="Lato" w:cstheme="minorHAnsi"/>
          <w:szCs w:val="24"/>
        </w:rPr>
        <w:t>RIVa</w:t>
      </w:r>
      <w:proofErr w:type="spellEnd"/>
      <w:r w:rsidRPr="005C1EA5">
        <w:rPr>
          <w:rFonts w:ascii="Lato" w:hAnsi="Lato" w:cstheme="minorHAnsi"/>
          <w:szCs w:val="24"/>
        </w:rPr>
        <w:t xml:space="preserve"> – grunty orne (pow</w:t>
      </w:r>
      <w:r>
        <w:rPr>
          <w:rFonts w:ascii="Lato" w:hAnsi="Lato" w:cstheme="minorHAnsi"/>
          <w:szCs w:val="24"/>
        </w:rPr>
        <w:t>ierzchnia</w:t>
      </w:r>
      <w:r w:rsidRPr="005C1EA5">
        <w:rPr>
          <w:rFonts w:ascii="Lato" w:hAnsi="Lato" w:cstheme="minorHAnsi"/>
          <w:szCs w:val="24"/>
        </w:rPr>
        <w:t xml:space="preserve"> 0,4600 ha), ŁIV – łąki trwałe (pow</w:t>
      </w:r>
      <w:r>
        <w:rPr>
          <w:rFonts w:ascii="Lato" w:hAnsi="Lato" w:cstheme="minorHAnsi"/>
          <w:szCs w:val="24"/>
        </w:rPr>
        <w:t>ierzchnia</w:t>
      </w:r>
      <w:r w:rsidRPr="005C1EA5">
        <w:rPr>
          <w:rFonts w:ascii="Lato" w:hAnsi="Lato" w:cstheme="minorHAnsi"/>
          <w:szCs w:val="24"/>
        </w:rPr>
        <w:t xml:space="preserve"> 0,5000 ha) oraz W – grunty pod rowami (</w:t>
      </w:r>
      <w:r>
        <w:rPr>
          <w:rFonts w:ascii="Lato" w:hAnsi="Lato" w:cstheme="minorHAnsi"/>
          <w:szCs w:val="24"/>
        </w:rPr>
        <w:t>powierzchnia</w:t>
      </w:r>
      <w:r w:rsidRPr="005C1EA5">
        <w:rPr>
          <w:rFonts w:ascii="Lato" w:hAnsi="Lato" w:cstheme="minorHAnsi"/>
          <w:szCs w:val="24"/>
        </w:rPr>
        <w:t xml:space="preserve"> 0,0300 ha). Działka wykorzystywan</w:t>
      </w:r>
      <w:r>
        <w:rPr>
          <w:rFonts w:ascii="Lato" w:hAnsi="Lato" w:cstheme="minorHAnsi"/>
          <w:szCs w:val="24"/>
        </w:rPr>
        <w:t>a</w:t>
      </w:r>
      <w:r w:rsidRPr="005C1EA5">
        <w:rPr>
          <w:rFonts w:ascii="Lato" w:hAnsi="Lato" w:cstheme="minorHAnsi"/>
          <w:szCs w:val="24"/>
        </w:rPr>
        <w:t xml:space="preserve"> rolniczo, z nielicznymi zakrzywieniami. Wskaźnik bonitacji gleb wynosi 0,99. </w:t>
      </w:r>
    </w:p>
    <w:p w14:paraId="6CC66F2D" w14:textId="08D2534A" w:rsidR="0067340C" w:rsidRPr="005C1EA5" w:rsidRDefault="0067340C" w:rsidP="0067340C">
      <w:pPr>
        <w:pStyle w:val="WW-Domylnie"/>
        <w:spacing w:before="120" w:line="276" w:lineRule="auto"/>
        <w:jc w:val="both"/>
        <w:rPr>
          <w:rFonts w:ascii="Lato" w:hAnsi="Lato" w:cstheme="minorHAnsi"/>
          <w:szCs w:val="24"/>
        </w:rPr>
      </w:pPr>
      <w:r w:rsidRPr="005C1EA5">
        <w:rPr>
          <w:rFonts w:ascii="Lato" w:hAnsi="Lato" w:cstheme="minorHAnsi"/>
          <w:szCs w:val="24"/>
        </w:rPr>
        <w:t>Nieruchomość posiada dostęp do drogi o nawierzchni gruntowej stanowiącej częściowo własność Skarbu Państwa (działki n</w:t>
      </w:r>
      <w:r>
        <w:rPr>
          <w:rFonts w:ascii="Lato" w:hAnsi="Lato" w:cstheme="minorHAnsi"/>
          <w:szCs w:val="24"/>
        </w:rPr>
        <w:t>ume</w:t>
      </w:r>
      <w:r w:rsidRPr="005C1EA5">
        <w:rPr>
          <w:rFonts w:ascii="Lato" w:hAnsi="Lato" w:cstheme="minorHAnsi"/>
          <w:szCs w:val="24"/>
        </w:rPr>
        <w:t>r 339/2 i n</w:t>
      </w:r>
      <w:r>
        <w:rPr>
          <w:rFonts w:ascii="Lato" w:hAnsi="Lato" w:cstheme="minorHAnsi"/>
          <w:szCs w:val="24"/>
        </w:rPr>
        <w:t>ume</w:t>
      </w:r>
      <w:r w:rsidRPr="005C1EA5">
        <w:rPr>
          <w:rFonts w:ascii="Lato" w:hAnsi="Lato" w:cstheme="minorHAnsi"/>
          <w:szCs w:val="24"/>
        </w:rPr>
        <w:t>r 338/2), częściowo własność gminy (działka n</w:t>
      </w:r>
      <w:r>
        <w:rPr>
          <w:rFonts w:ascii="Lato" w:hAnsi="Lato" w:cstheme="minorHAnsi"/>
          <w:szCs w:val="24"/>
        </w:rPr>
        <w:t>ume</w:t>
      </w:r>
      <w:r w:rsidRPr="005C1EA5">
        <w:rPr>
          <w:rFonts w:ascii="Lato" w:hAnsi="Lato" w:cstheme="minorHAnsi"/>
          <w:szCs w:val="24"/>
        </w:rPr>
        <w:t>r 326/2).</w:t>
      </w:r>
    </w:p>
    <w:p w14:paraId="13A3F5C1" w14:textId="77777777" w:rsidR="0067340C" w:rsidRPr="005C1EA5" w:rsidRDefault="0067340C" w:rsidP="0067340C">
      <w:pPr>
        <w:pStyle w:val="WW-Domylnie"/>
        <w:spacing w:before="120" w:line="276" w:lineRule="auto"/>
        <w:jc w:val="both"/>
        <w:rPr>
          <w:rFonts w:ascii="Lato" w:hAnsi="Lato" w:cstheme="minorHAnsi"/>
          <w:szCs w:val="24"/>
        </w:rPr>
      </w:pPr>
      <w:r w:rsidRPr="005C1EA5">
        <w:rPr>
          <w:rFonts w:ascii="Lato" w:hAnsi="Lato" w:cstheme="minorHAnsi"/>
          <w:szCs w:val="24"/>
        </w:rPr>
        <w:t xml:space="preserve">Obszar, na którym znajduje się nieruchomość, nie jest objęty miejscowym planem zagospodarowania przestrzennego. Natomiast </w:t>
      </w:r>
      <w:r>
        <w:rPr>
          <w:rFonts w:ascii="Lato" w:hAnsi="Lato" w:cstheme="minorHAnsi"/>
          <w:szCs w:val="24"/>
        </w:rPr>
        <w:t>w</w:t>
      </w:r>
      <w:r w:rsidRPr="005C1EA5">
        <w:rPr>
          <w:rFonts w:ascii="Lato" w:hAnsi="Lato" w:cstheme="minorHAnsi"/>
          <w:szCs w:val="24"/>
        </w:rPr>
        <w:t xml:space="preserve"> studium uwarunkowań i kierunków zagospodarowania przestrzennego gminy Stary Dzierzgoń teren działki oznaczony został jako strefa A – wielofunkcyjne ośrodki wiejskie – Stary Dzierzgoń, Stare Miasto, grunty rolne niezabudowane. Teren ten znajduje się w Obszarze Chronionego Krajobrazu Rzeki Dzierzgoń.</w:t>
      </w:r>
    </w:p>
    <w:p w14:paraId="1417AFE1" w14:textId="0CA8F1C6" w:rsidR="0067340C" w:rsidRPr="0067340C" w:rsidRDefault="0067340C" w:rsidP="0067340C">
      <w:pPr>
        <w:spacing w:before="240" w:after="120"/>
        <w:rPr>
          <w:rFonts w:ascii="Lato" w:hAnsi="Lato"/>
          <w:vertAlign w:val="superscript"/>
        </w:rPr>
      </w:pPr>
      <w:r w:rsidRPr="0067340C">
        <w:rPr>
          <w:rStyle w:val="Nagwek2Znak"/>
          <w:rFonts w:ascii="Lato" w:hAnsi="Lato"/>
          <w:b/>
          <w:bCs/>
          <w:color w:val="auto"/>
        </w:rPr>
        <w:t>Termin</w:t>
      </w:r>
      <w:r w:rsidRPr="0067340C">
        <w:rPr>
          <w:rStyle w:val="Nagwek2Znak"/>
          <w:rFonts w:ascii="Lato" w:hAnsi="Lato"/>
          <w:color w:val="auto"/>
        </w:rPr>
        <w:tab/>
      </w:r>
      <w:r w:rsidR="00366108">
        <w:rPr>
          <w:rStyle w:val="Nagwek2Znak"/>
          <w:rFonts w:ascii="Lato" w:hAnsi="Lato"/>
          <w:iCs/>
          <w:color w:val="auto"/>
          <w:sz w:val="24"/>
          <w:szCs w:val="24"/>
        </w:rPr>
        <w:t>28.03</w:t>
      </w:r>
      <w:r w:rsidRPr="0067340C">
        <w:rPr>
          <w:rStyle w:val="Nagwek2Znak"/>
          <w:rFonts w:ascii="Lato" w:hAnsi="Lato"/>
          <w:iCs/>
          <w:color w:val="auto"/>
          <w:sz w:val="24"/>
          <w:szCs w:val="24"/>
        </w:rPr>
        <w:t>.2025 rok</w:t>
      </w:r>
      <w:r w:rsidRPr="0067340C">
        <w:rPr>
          <w:rStyle w:val="Nagwek2Znak"/>
          <w:rFonts w:ascii="Lato" w:hAnsi="Lato"/>
          <w:color w:val="auto"/>
          <w:sz w:val="24"/>
          <w:szCs w:val="24"/>
        </w:rPr>
        <w:t>, godz</w:t>
      </w:r>
      <w:r>
        <w:rPr>
          <w:rStyle w:val="Nagwek2Znak"/>
          <w:rFonts w:ascii="Lato" w:hAnsi="Lato"/>
          <w:color w:val="auto"/>
          <w:sz w:val="24"/>
          <w:szCs w:val="24"/>
        </w:rPr>
        <w:t>ina</w:t>
      </w:r>
      <w:r w:rsidRPr="0067340C">
        <w:rPr>
          <w:rStyle w:val="Nagwek2Znak"/>
          <w:rFonts w:ascii="Lato" w:hAnsi="Lato"/>
          <w:color w:val="auto"/>
          <w:sz w:val="24"/>
          <w:szCs w:val="24"/>
        </w:rPr>
        <w:t>1</w:t>
      </w:r>
      <w:r w:rsidR="00366108">
        <w:rPr>
          <w:rStyle w:val="Nagwek2Znak"/>
          <w:rFonts w:ascii="Lato" w:hAnsi="Lato"/>
          <w:color w:val="auto"/>
          <w:sz w:val="24"/>
          <w:szCs w:val="24"/>
        </w:rPr>
        <w:t>1</w:t>
      </w:r>
      <w:r w:rsidRPr="0067340C">
        <w:rPr>
          <w:rStyle w:val="Nagwek2Znak"/>
          <w:rFonts w:ascii="Lato" w:hAnsi="Lato"/>
          <w:color w:val="auto"/>
          <w:sz w:val="24"/>
          <w:szCs w:val="24"/>
          <w:vertAlign w:val="superscript"/>
        </w:rPr>
        <w:t>00</w:t>
      </w:r>
    </w:p>
    <w:p w14:paraId="6BC2F824" w14:textId="05A803EA" w:rsidR="0067340C" w:rsidRPr="0067340C" w:rsidRDefault="0067340C" w:rsidP="0067340C">
      <w:pPr>
        <w:spacing w:before="120" w:after="120"/>
        <w:ind w:left="1418" w:hanging="1418"/>
        <w:jc w:val="both"/>
        <w:rPr>
          <w:rFonts w:ascii="Lato" w:hAnsi="Lato"/>
        </w:rPr>
      </w:pPr>
      <w:r w:rsidRPr="0067340C">
        <w:rPr>
          <w:rStyle w:val="Nagwek2Znak"/>
          <w:rFonts w:ascii="Lato" w:hAnsi="Lato"/>
          <w:b/>
          <w:bCs/>
          <w:color w:val="auto"/>
        </w:rPr>
        <w:t>Miejsce</w:t>
      </w:r>
      <w:r w:rsidRPr="0067340C">
        <w:rPr>
          <w:rStyle w:val="Nagwek2Znak"/>
          <w:rFonts w:ascii="Lato" w:hAnsi="Lato"/>
          <w:color w:val="auto"/>
        </w:rPr>
        <w:tab/>
      </w:r>
      <w:r w:rsidRPr="0067340C">
        <w:rPr>
          <w:rFonts w:ascii="Lato" w:hAnsi="Lato"/>
        </w:rPr>
        <w:t>siedziba Urzędu Skarbowego w Malborku; ul</w:t>
      </w:r>
      <w:r>
        <w:rPr>
          <w:rFonts w:ascii="Lato" w:hAnsi="Lato"/>
        </w:rPr>
        <w:t xml:space="preserve">ica </w:t>
      </w:r>
      <w:r w:rsidRPr="0067340C">
        <w:rPr>
          <w:rFonts w:ascii="Lato" w:hAnsi="Lato"/>
        </w:rPr>
        <w:t>Kopernika 10, pok</w:t>
      </w:r>
      <w:r>
        <w:rPr>
          <w:rFonts w:ascii="Lato" w:hAnsi="Lato"/>
        </w:rPr>
        <w:t xml:space="preserve">ój </w:t>
      </w:r>
      <w:r w:rsidRPr="0067340C">
        <w:rPr>
          <w:rFonts w:ascii="Lato" w:hAnsi="Lato"/>
        </w:rPr>
        <w:t>113</w:t>
      </w:r>
    </w:p>
    <w:p w14:paraId="31B68021" w14:textId="77777777" w:rsidR="0067340C" w:rsidRPr="0067340C" w:rsidRDefault="0067340C" w:rsidP="0067340C">
      <w:pPr>
        <w:pStyle w:val="Tekstpodstawowy"/>
        <w:spacing w:line="23" w:lineRule="atLeast"/>
        <w:rPr>
          <w:rFonts w:ascii="Lato" w:eastAsiaTheme="majorEastAsia" w:hAnsi="Lato" w:cs="Calibri"/>
        </w:rPr>
      </w:pPr>
      <w:r w:rsidRPr="0067340C">
        <w:rPr>
          <w:rFonts w:ascii="Lato" w:hAnsi="Lato"/>
          <w:b/>
          <w:bCs/>
          <w:sz w:val="28"/>
          <w:szCs w:val="28"/>
        </w:rPr>
        <w:t xml:space="preserve">Wartość szacunkowa       </w:t>
      </w:r>
      <w:r w:rsidRPr="0067340C">
        <w:rPr>
          <w:rFonts w:ascii="Lato" w:hAnsi="Lato"/>
        </w:rPr>
        <w:t>49.000,00 zł</w:t>
      </w:r>
    </w:p>
    <w:p w14:paraId="415E3FFD" w14:textId="5E65965E" w:rsidR="0067340C" w:rsidRPr="0067340C" w:rsidRDefault="0067340C" w:rsidP="0067340C">
      <w:pPr>
        <w:pStyle w:val="Tekstpodstawowy"/>
        <w:spacing w:line="23" w:lineRule="atLeast"/>
        <w:jc w:val="both"/>
        <w:rPr>
          <w:rFonts w:ascii="Lato" w:eastAsiaTheme="majorEastAsia" w:hAnsi="Lato" w:cs="Calibri"/>
        </w:rPr>
      </w:pPr>
      <w:r w:rsidRPr="0067340C">
        <w:rPr>
          <w:rStyle w:val="Nagwek2Znak"/>
          <w:rFonts w:ascii="Lato" w:hAnsi="Lato"/>
          <w:b/>
          <w:bCs/>
          <w:color w:val="auto"/>
        </w:rPr>
        <w:t>Cena wywołania</w:t>
      </w:r>
      <w:r w:rsidRPr="0067340C">
        <w:rPr>
          <w:rStyle w:val="Nagwek2Znak"/>
          <w:rFonts w:ascii="Lato" w:hAnsi="Lato"/>
          <w:color w:val="auto"/>
        </w:rPr>
        <w:t xml:space="preserve">      </w:t>
      </w:r>
      <w:r w:rsidR="00366108">
        <w:rPr>
          <w:rFonts w:ascii="Lato" w:eastAsiaTheme="majorEastAsia" w:hAnsi="Lato" w:cs="Calibri"/>
        </w:rPr>
        <w:t>31.850</w:t>
      </w:r>
      <w:r w:rsidRPr="0067340C">
        <w:rPr>
          <w:rFonts w:ascii="Lato" w:eastAsiaTheme="majorEastAsia" w:hAnsi="Lato" w:cs="Calibri"/>
        </w:rPr>
        <w:t xml:space="preserve">,00 zł </w:t>
      </w:r>
    </w:p>
    <w:p w14:paraId="57C9AA1F" w14:textId="77777777" w:rsidR="0067340C" w:rsidRPr="004A016C" w:rsidRDefault="0067340C" w:rsidP="0067340C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</w:rPr>
      </w:pPr>
      <w:r w:rsidRPr="0067340C">
        <w:rPr>
          <w:rStyle w:val="Nagwek2Znak"/>
          <w:rFonts w:ascii="Lato" w:hAnsi="Lato"/>
          <w:b/>
          <w:bCs/>
          <w:color w:val="auto"/>
        </w:rPr>
        <w:t>Wadium</w:t>
      </w:r>
      <w:r w:rsidRPr="00BB7AF6">
        <w:rPr>
          <w:rStyle w:val="Nagwek2Znak"/>
          <w:rFonts w:ascii="Lato" w:hAnsi="Lato"/>
        </w:rPr>
        <w:tab/>
      </w:r>
      <w:r>
        <w:rPr>
          <w:rFonts w:ascii="Lato" w:eastAsiaTheme="majorEastAsia" w:hAnsi="Lato" w:cs="Calibri"/>
        </w:rPr>
        <w:t>4.900</w:t>
      </w:r>
      <w:r w:rsidRPr="009925F4">
        <w:rPr>
          <w:rFonts w:ascii="Lato" w:eastAsiaTheme="majorEastAsia" w:hAnsi="Lato" w:cs="Calibri"/>
        </w:rPr>
        <w:t>,00 zł</w:t>
      </w:r>
    </w:p>
    <w:p w14:paraId="6E903F9A" w14:textId="77777777" w:rsidR="0067340C" w:rsidRPr="00BD1A17" w:rsidRDefault="0067340C" w:rsidP="0067340C">
      <w:pPr>
        <w:pStyle w:val="Standard"/>
        <w:spacing w:before="240"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</w:t>
      </w:r>
      <w:r>
        <w:rPr>
          <w:rFonts w:ascii="Lato" w:hAnsi="Lato"/>
          <w:bCs/>
          <w:sz w:val="24"/>
          <w:szCs w:val="24"/>
        </w:rPr>
        <w:t>nie</w:t>
      </w:r>
      <w:r w:rsidRPr="00BD1A17">
        <w:rPr>
          <w:rFonts w:ascii="Lato" w:hAnsi="Lato"/>
          <w:bCs/>
          <w:sz w:val="24"/>
          <w:szCs w:val="24"/>
        </w:rPr>
        <w:t xml:space="preserve">ruchomości jest wpłata wadium. </w:t>
      </w:r>
      <w:r w:rsidRPr="00BD1A17">
        <w:rPr>
          <w:rFonts w:ascii="Lato" w:hAnsi="Lato"/>
          <w:bCs/>
          <w:sz w:val="24"/>
          <w:szCs w:val="24"/>
        </w:rPr>
        <w:tab/>
      </w:r>
      <w:r w:rsidRPr="00BD1A17">
        <w:rPr>
          <w:rFonts w:ascii="Lato" w:hAnsi="Lato"/>
          <w:bCs/>
          <w:sz w:val="24"/>
          <w:szCs w:val="24"/>
        </w:rPr>
        <w:tab/>
      </w:r>
    </w:p>
    <w:p w14:paraId="2EE4D6B4" w14:textId="77777777" w:rsidR="0067340C" w:rsidRPr="00BC289D" w:rsidRDefault="0067340C" w:rsidP="0067340C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Pr="00573136">
        <w:rPr>
          <w:rFonts w:ascii="Lato" w:eastAsia="Times New Roman" w:hAnsi="Lato"/>
          <w:lang w:eastAsia="pl-PL"/>
        </w:rPr>
        <w:t xml:space="preserve">roszę </w:t>
      </w:r>
      <w:r w:rsidRPr="00573136">
        <w:rPr>
          <w:rFonts w:ascii="Lato" w:hAnsi="Lato"/>
          <w:lang w:eastAsia="pl-PL"/>
        </w:rPr>
        <w:t>wpłacić na rachunek bankowy</w:t>
      </w:r>
      <w:r w:rsidRPr="00573136">
        <w:rPr>
          <w:rFonts w:ascii="Lato" w:eastAsia="Times New Roman" w:hAnsi="Lato"/>
          <w:lang w:eastAsia="pl-PL"/>
        </w:rPr>
        <w:t xml:space="preserve"> </w:t>
      </w:r>
      <w:r>
        <w:rPr>
          <w:rFonts w:ascii="Lato" w:eastAsia="Times New Roman" w:hAnsi="Lato"/>
          <w:lang w:eastAsia="pl-PL"/>
        </w:rPr>
        <w:t xml:space="preserve">Naczelnika Urzędu Skarbowego w Malborku </w:t>
      </w:r>
      <w:r w:rsidRPr="00573136">
        <w:rPr>
          <w:rFonts w:ascii="Lato" w:eastAsia="Times New Roman" w:hAnsi="Lato"/>
          <w:lang w:eastAsia="pl-PL"/>
        </w:rPr>
        <w:t>nr</w:t>
      </w:r>
      <w:r>
        <w:rPr>
          <w:rFonts w:ascii="Lato" w:eastAsia="Times New Roman" w:hAnsi="Lato"/>
          <w:lang w:eastAsia="pl-PL"/>
        </w:rPr>
        <w:t xml:space="preserve"> 21 1010 1140 0023 3613 9120 0000</w:t>
      </w:r>
      <w:r w:rsidRPr="00776700">
        <w:rPr>
          <w:rFonts w:ascii="Times New Roman" w:hAnsi="Times New Roman" w:cs="Times New Roman"/>
        </w:rPr>
        <w:t xml:space="preserve"> </w:t>
      </w:r>
      <w:r>
        <w:rPr>
          <w:rFonts w:ascii="Lato" w:hAnsi="Lato" w:cs="Times New Roman"/>
        </w:rPr>
        <w:t>w</w:t>
      </w:r>
      <w:r w:rsidRPr="00776700">
        <w:rPr>
          <w:rFonts w:ascii="Lato" w:hAnsi="Lato" w:cs="Times New Roman"/>
        </w:rPr>
        <w:t xml:space="preserve"> NBP O/O Gdańsk</w:t>
      </w:r>
      <w:r w:rsidRPr="00776700">
        <w:rPr>
          <w:rFonts w:ascii="Lato" w:eastAsia="Times New Roman" w:hAnsi="Lato"/>
          <w:lang w:eastAsia="pl-PL"/>
        </w:rPr>
        <w:t xml:space="preserve">. W treści przelewu proszę zamieścić: „wadium, nr księgi wieczystej </w:t>
      </w:r>
      <w:r w:rsidRPr="00776700">
        <w:rPr>
          <w:rFonts w:ascii="Lato" w:hAnsi="Lato" w:cs="Calibri"/>
        </w:rPr>
        <w:t>nr</w:t>
      </w:r>
      <w:r w:rsidRPr="00BB7AF6">
        <w:rPr>
          <w:rFonts w:ascii="Lato" w:hAnsi="Lato" w:cs="Calibri"/>
        </w:rPr>
        <w:t xml:space="preserve"> </w:t>
      </w:r>
      <w:r w:rsidRPr="005C1EA5">
        <w:rPr>
          <w:rFonts w:ascii="Lato" w:hAnsi="Lato"/>
        </w:rPr>
        <w:t>GD2I/00000129/2</w:t>
      </w:r>
      <w:r>
        <w:rPr>
          <w:rFonts w:ascii="Lato" w:eastAsiaTheme="majorEastAsia" w:hAnsi="Lato" w:cs="Calibri"/>
        </w:rPr>
        <w:t>”.</w:t>
      </w:r>
      <w:r>
        <w:rPr>
          <w:rFonts w:ascii="Lato" w:eastAsia="Times New Roman" w:hAnsi="Lato"/>
          <w:lang w:eastAsia="pl-PL"/>
        </w:rPr>
        <w:t xml:space="preserve">  </w:t>
      </w:r>
    </w:p>
    <w:p w14:paraId="1C0D96A1" w14:textId="77777777" w:rsidR="0067340C" w:rsidRDefault="0067340C" w:rsidP="0067340C">
      <w:pPr>
        <w:pStyle w:val="TekstpismaKAS"/>
        <w:jc w:val="both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50584CCB" w14:textId="77777777" w:rsidR="0067340C" w:rsidRPr="00776700" w:rsidRDefault="0067340C" w:rsidP="0067340C">
      <w:pPr>
        <w:pStyle w:val="TekstpismaKAS"/>
        <w:jc w:val="both"/>
        <w:rPr>
          <w:rFonts w:ascii="Lato" w:hAnsi="Lato"/>
          <w:lang w:eastAsia="zh-CN"/>
        </w:rPr>
      </w:pPr>
      <w:r w:rsidRPr="00776700">
        <w:rPr>
          <w:rFonts w:ascii="Lato" w:hAnsi="Lato"/>
          <w:lang w:eastAsia="zh-CN"/>
        </w:rPr>
        <w:t xml:space="preserve">Zatrzymam wadium złożone przez licytanta, któremu udzielimy przybicia. </w:t>
      </w:r>
    </w:p>
    <w:p w14:paraId="6686EB53" w14:textId="77777777" w:rsidR="0067340C" w:rsidRDefault="0067340C" w:rsidP="0067340C">
      <w:pPr>
        <w:pStyle w:val="TekstpismaKAS"/>
        <w:jc w:val="both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>Pozostałym licytantom zwróc</w:t>
      </w:r>
      <w:r>
        <w:rPr>
          <w:rFonts w:ascii="Lato" w:hAnsi="Lato"/>
          <w:lang w:eastAsia="zh-CN"/>
        </w:rPr>
        <w:t>ę</w:t>
      </w:r>
      <w:r w:rsidRPr="00573136">
        <w:rPr>
          <w:rFonts w:ascii="Lato" w:hAnsi="Lato"/>
          <w:lang w:eastAsia="zh-CN"/>
        </w:rPr>
        <w:t xml:space="preserve"> wadium</w:t>
      </w:r>
      <w:r>
        <w:rPr>
          <w:rFonts w:ascii="Lato" w:hAnsi="Lato"/>
          <w:lang w:eastAsia="zh-CN"/>
        </w:rPr>
        <w:t xml:space="preserve"> nie później niż w terminie 7 dni roboczych od dnia licytacji. </w:t>
      </w:r>
    </w:p>
    <w:p w14:paraId="60FEB85A" w14:textId="77777777" w:rsidR="0067340C" w:rsidRPr="00903AA0" w:rsidRDefault="0067340C" w:rsidP="0067340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sz w:val="28"/>
          <w:szCs w:val="28"/>
        </w:rPr>
      </w:pPr>
      <w:r w:rsidRPr="00903AA0">
        <w:rPr>
          <w:rFonts w:ascii="Lato" w:hAnsi="Lato"/>
          <w:b/>
          <w:bCs/>
          <w:sz w:val="28"/>
          <w:szCs w:val="28"/>
        </w:rPr>
        <w:t>Termin i miejsce oglądania nieruchomości</w:t>
      </w:r>
    </w:p>
    <w:p w14:paraId="26F32F6F" w14:textId="408C24D9" w:rsidR="0067340C" w:rsidRPr="00935665" w:rsidRDefault="0067340C" w:rsidP="0067340C">
      <w:pPr>
        <w:pStyle w:val="TekstpismaKAS"/>
        <w:jc w:val="both"/>
        <w:rPr>
          <w:rFonts w:ascii="Lato" w:hAnsi="Lato" w:cs="Times New Roman"/>
        </w:rPr>
      </w:pPr>
      <w:r w:rsidRPr="00935665">
        <w:rPr>
          <w:rFonts w:ascii="Lato" w:hAnsi="Lato" w:cs="Times New Roman"/>
        </w:rPr>
        <w:lastRenderedPageBreak/>
        <w:t>Nieruchomość można oglądać w terminie 14 dni przed dniem licytacji, w dni powszednie od godz</w:t>
      </w:r>
      <w:r>
        <w:rPr>
          <w:rFonts w:ascii="Lato" w:hAnsi="Lato" w:cs="Times New Roman"/>
        </w:rPr>
        <w:t>iny</w:t>
      </w:r>
      <w:r w:rsidRPr="00935665">
        <w:rPr>
          <w:rFonts w:ascii="Lato" w:hAnsi="Lato" w:cs="Times New Roman"/>
        </w:rPr>
        <w:t xml:space="preserve"> 10:00 do godz</w:t>
      </w:r>
      <w:r>
        <w:rPr>
          <w:rFonts w:ascii="Lato" w:hAnsi="Lato" w:cs="Times New Roman"/>
        </w:rPr>
        <w:t>iny</w:t>
      </w:r>
      <w:r w:rsidRPr="00935665">
        <w:rPr>
          <w:rFonts w:ascii="Lato" w:hAnsi="Lato" w:cs="Times New Roman"/>
        </w:rPr>
        <w:t xml:space="preserve"> 13:00, po wcześniejszym uzgodnieniu z organem egzekucyjnym. W tym też terminie – po wcześniejszym uzgodnieniu telefonicznym pod n</w:t>
      </w:r>
      <w:r>
        <w:rPr>
          <w:rFonts w:ascii="Lato" w:hAnsi="Lato" w:cs="Times New Roman"/>
        </w:rPr>
        <w:t>umerem</w:t>
      </w:r>
      <w:r w:rsidRPr="00935665">
        <w:rPr>
          <w:rFonts w:ascii="Lato" w:hAnsi="Lato" w:cs="Times New Roman"/>
        </w:rPr>
        <w:t xml:space="preserve"> 55 270 22 28 – w Urzędzie Skarbowym w Malborku, pok</w:t>
      </w:r>
      <w:r>
        <w:rPr>
          <w:rFonts w:ascii="Lato" w:hAnsi="Lato" w:cs="Times New Roman"/>
        </w:rPr>
        <w:t>ój</w:t>
      </w:r>
      <w:r w:rsidRPr="00935665">
        <w:rPr>
          <w:rFonts w:ascii="Lato" w:hAnsi="Lato" w:cs="Times New Roman"/>
        </w:rPr>
        <w:t xml:space="preserve"> 113, można przeglądać akta postępowania egzekucyjnego (protokół opisu i oszacowania nieruchomości, operat szacunkowy).</w:t>
      </w:r>
    </w:p>
    <w:p w14:paraId="5A6F8DE3" w14:textId="77777777" w:rsidR="0067340C" w:rsidRPr="00396486" w:rsidRDefault="0067340C" w:rsidP="0067340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sz w:val="28"/>
          <w:szCs w:val="28"/>
        </w:rPr>
      </w:pPr>
      <w:r w:rsidRPr="00396486">
        <w:rPr>
          <w:rFonts w:ascii="Lato" w:hAnsi="Lato"/>
          <w:b/>
          <w:bCs/>
          <w:sz w:val="28"/>
          <w:szCs w:val="28"/>
        </w:rPr>
        <w:t>Pozostałe informacje</w:t>
      </w:r>
    </w:p>
    <w:p w14:paraId="04A33222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 w:rsidRPr="00396486">
        <w:rPr>
          <w:rFonts w:ascii="Lato" w:hAnsi="Lato"/>
          <w:bCs/>
          <w:iCs/>
          <w:sz w:val="24"/>
          <w:szCs w:val="24"/>
        </w:rPr>
        <w:t>nie jest</w:t>
      </w:r>
      <w:r w:rsidRPr="00396486">
        <w:rPr>
          <w:rFonts w:ascii="Lato" w:hAnsi="Lato"/>
          <w:bCs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usług, ani podatkiem od czynności cywilnoprawnych.</w:t>
      </w:r>
    </w:p>
    <w:p w14:paraId="03C6EEB7" w14:textId="77777777" w:rsidR="0067340C" w:rsidRPr="00CE25A7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01C083FA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5193C8B7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Jeżeli nabycie nieruchomości rolnej następuje w wyniku orzeczenia organu egzekucyjnego wydanego na podstawie przepisów o postępowaniu egzekucyjnym, Krajowy Ośrodek Wsparcia Rolnictwa, działający na rzecz Skarbu Państwa może złożyć oświadczenie o nabyciu tej nieruchomości za zapłatą ceny tej nieruchomości (art. 4 ust. 1 pkt 3 ustawy o kształtowaniu ustroju rolnego). Przypadki wyłączenia tego uprawnienia zostały określone w art. 4 ust. 4 tej ustawy.</w:t>
      </w:r>
    </w:p>
    <w:p w14:paraId="2D87E57B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8E6F3C">
        <w:rPr>
          <w:rFonts w:ascii="Lato" w:hAnsi="Lato"/>
          <w:sz w:val="24"/>
          <w:szCs w:val="24"/>
        </w:rPr>
        <w:t xml:space="preserve">W </w:t>
      </w:r>
      <w:r w:rsidRPr="008E6F3C">
        <w:rPr>
          <w:rFonts w:ascii="Lato" w:hAnsi="Lato" w:cs="Times New Roman"/>
          <w:sz w:val="24"/>
          <w:szCs w:val="24"/>
        </w:rPr>
        <w:t>licytacji nie mogą uczestniczyć osoby, o których mowa w art. 111d § 1 ustawy o postępowaniu egzekucyjnym w administracji</w:t>
      </w:r>
      <w:r>
        <w:rPr>
          <w:rFonts w:ascii="Lato" w:hAnsi="Lato" w:cs="Times New Roman"/>
          <w:sz w:val="24"/>
          <w:szCs w:val="24"/>
        </w:rPr>
        <w:t>.</w:t>
      </w:r>
    </w:p>
    <w:p w14:paraId="517B77B9" w14:textId="77777777" w:rsidR="0067340C" w:rsidRPr="008E6F3C" w:rsidRDefault="0067340C" w:rsidP="0067340C">
      <w:pPr>
        <w:pStyle w:val="Standard"/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  <w:r w:rsidRPr="008E6F3C">
        <w:rPr>
          <w:rFonts w:ascii="Lato" w:hAnsi="Lato" w:cs="Times New Roman"/>
          <w:sz w:val="24"/>
          <w:szCs w:val="24"/>
        </w:rPr>
        <w:t>Licytacja może zostać odwołana bez podania przyczyn.</w:t>
      </w:r>
    </w:p>
    <w:p w14:paraId="08ACDE76" w14:textId="77777777" w:rsidR="0067340C" w:rsidRPr="008E6F3C" w:rsidRDefault="0067340C" w:rsidP="0067340C">
      <w:pPr>
        <w:pStyle w:val="Standard"/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  <w:r w:rsidRPr="008E6F3C">
        <w:rPr>
          <w:rFonts w:ascii="Lato" w:hAnsi="Lato" w:cs="Times New Roman"/>
          <w:sz w:val="24"/>
          <w:szCs w:val="24"/>
        </w:rPr>
        <w:t>Na czynności organu egzekucyjnego dotyczące obwieszczenia o licytacji przysługuje skarga.</w:t>
      </w:r>
      <w:r>
        <w:rPr>
          <w:rFonts w:ascii="Lato" w:hAnsi="Lato" w:cs="Times New Roman"/>
          <w:sz w:val="24"/>
          <w:szCs w:val="24"/>
        </w:rPr>
        <w:t xml:space="preserve"> </w:t>
      </w:r>
      <w:r w:rsidRPr="008E6F3C">
        <w:rPr>
          <w:rFonts w:ascii="Lato" w:hAnsi="Lato" w:cs="Times New Roman"/>
          <w:sz w:val="24"/>
          <w:szCs w:val="24"/>
        </w:rPr>
        <w:t>Skargę można wnieść do organu egzekucyjnego w terminie 14 dni od dnia ogłoszenia o licytacji.</w:t>
      </w:r>
    </w:p>
    <w:p w14:paraId="6ADEF7B5" w14:textId="77777777" w:rsidR="0067340C" w:rsidRPr="00D01ABB" w:rsidRDefault="0067340C" w:rsidP="00366108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Pr="00396486">
        <w:rPr>
          <w:rFonts w:ascii="Lato" w:hAnsi="Lato"/>
          <w:bCs/>
          <w:sz w:val="24"/>
          <w:szCs w:val="24"/>
        </w:rPr>
        <w:t>Dziale</w:t>
      </w:r>
      <w:r w:rsidRPr="008A5AEC">
        <w:rPr>
          <w:rFonts w:ascii="Lato" w:hAnsi="Lato"/>
          <w:bCs/>
          <w:color w:val="002060"/>
          <w:sz w:val="24"/>
          <w:szCs w:val="24"/>
        </w:rPr>
        <w:t xml:space="preserve"> </w:t>
      </w:r>
      <w:r w:rsidRPr="00D01ABB">
        <w:rPr>
          <w:rFonts w:ascii="Lato" w:hAnsi="Lato"/>
          <w:bCs/>
          <w:sz w:val="24"/>
          <w:szCs w:val="24"/>
        </w:rPr>
        <w:t>Egzekucji Administracyjnej:</w:t>
      </w:r>
    </w:p>
    <w:p w14:paraId="06D1C65B" w14:textId="7E1C1071" w:rsidR="0067340C" w:rsidRPr="009B2E17" w:rsidRDefault="0067340C" w:rsidP="00366108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396486">
        <w:rPr>
          <w:rFonts w:ascii="Lato" w:hAnsi="Lato"/>
        </w:rPr>
        <w:t>55 270 22 28</w:t>
      </w:r>
    </w:p>
    <w:p w14:paraId="4F67984E" w14:textId="60321C7A" w:rsidR="0067340C" w:rsidRPr="00396F33" w:rsidRDefault="0067340C" w:rsidP="00366108">
      <w:pPr>
        <w:pStyle w:val="TekstpismaKAS"/>
        <w:spacing w:before="0"/>
        <w:rPr>
          <w:rFonts w:ascii="Lato" w:hAnsi="Lato"/>
        </w:rPr>
      </w:pPr>
      <w:r w:rsidRPr="00573136">
        <w:rPr>
          <w:rFonts w:ascii="Lato" w:hAnsi="Lato"/>
        </w:rPr>
        <w:t>elektronicznie – napisz na adres:</w:t>
      </w:r>
      <w:r w:rsidR="00366108">
        <w:rPr>
          <w:rFonts w:ascii="Lato" w:hAnsi="Lato"/>
        </w:rPr>
        <w:t xml:space="preserve"> </w:t>
      </w:r>
      <w:r w:rsidRPr="00396F33">
        <w:rPr>
          <w:rFonts w:ascii="Lato" w:hAnsi="Lato"/>
        </w:rPr>
        <w:t>anita.wojtysiak@mf.gov.pl</w:t>
      </w:r>
    </w:p>
    <w:p w14:paraId="544AC2A0" w14:textId="77777777" w:rsidR="0067340C" w:rsidRPr="00D01ABB" w:rsidRDefault="0067340C" w:rsidP="00366108">
      <w:pPr>
        <w:pStyle w:val="Standard"/>
        <w:spacing w:after="0" w:line="276" w:lineRule="auto"/>
        <w:rPr>
          <w:rFonts w:ascii="Lato" w:hAnsi="Lato"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7" w:history="1">
        <w:r w:rsidRPr="00830C86">
          <w:rPr>
            <w:rStyle w:val="Hipercze"/>
            <w:rFonts w:ascii="Lato" w:hAnsi="Lato"/>
            <w:bCs/>
            <w:sz w:val="24"/>
            <w:szCs w:val="24"/>
          </w:rPr>
          <w:t>https://www.pomorskie.kas.gov.pl/urzad-skarbowy-w-malborku</w:t>
        </w:r>
      </w:hyperlink>
      <w:r w:rsidRPr="00830C86">
        <w:rPr>
          <w:rFonts w:ascii="Lato" w:hAnsi="Lato"/>
          <w:bCs/>
          <w:sz w:val="24"/>
          <w:szCs w:val="24"/>
        </w:rPr>
        <w:t>,</w:t>
      </w:r>
      <w:r w:rsidRPr="00830C86">
        <w:rPr>
          <w:rFonts w:ascii="Lato" w:hAnsi="Lato"/>
          <w:bCs/>
          <w:sz w:val="24"/>
          <w:szCs w:val="24"/>
        </w:rPr>
        <w:br/>
      </w:r>
      <w:r w:rsidRPr="00D01ABB">
        <w:rPr>
          <w:rFonts w:ascii="Lato" w:hAnsi="Lato"/>
          <w:bCs/>
          <w:sz w:val="24"/>
          <w:szCs w:val="24"/>
        </w:rPr>
        <w:t>w zakładce ogłoszenia - obwieszczenia o licytacji.</w:t>
      </w:r>
    </w:p>
    <w:p w14:paraId="5319493E" w14:textId="77777777" w:rsidR="0067340C" w:rsidRPr="00396486" w:rsidRDefault="0067340C" w:rsidP="0067340C">
      <w:pPr>
        <w:pStyle w:val="rdtytuKAS"/>
        <w:rPr>
          <w:rFonts w:ascii="Lato" w:hAnsi="Lato"/>
          <w:color w:val="auto"/>
          <w:lang w:eastAsia="pl-PL"/>
        </w:rPr>
      </w:pPr>
      <w:r w:rsidRPr="00396486">
        <w:rPr>
          <w:rFonts w:ascii="Lato" w:hAnsi="Lato"/>
          <w:color w:val="auto"/>
          <w:lang w:eastAsia="pl-PL"/>
        </w:rPr>
        <w:t xml:space="preserve">Przepisy prawa: </w:t>
      </w:r>
    </w:p>
    <w:p w14:paraId="0C1BB68E" w14:textId="70E2915A" w:rsidR="0067340C" w:rsidRPr="00573136" w:rsidRDefault="0067340C" w:rsidP="0067340C">
      <w:pPr>
        <w:pStyle w:val="TekstpismaKAS"/>
        <w:jc w:val="both"/>
        <w:rPr>
          <w:rFonts w:ascii="Lato" w:hAnsi="Lato"/>
          <w:lang w:eastAsia="pl-PL"/>
        </w:rPr>
      </w:pPr>
      <w:r w:rsidRPr="00CE25A7">
        <w:rPr>
          <w:rFonts w:ascii="Lato" w:hAnsi="Lato"/>
        </w:rPr>
        <w:t>Art. 110w §1 i § 3, art. 110z, art. 111, art. 111d</w:t>
      </w:r>
      <w:r>
        <w:t xml:space="preserve"> </w:t>
      </w:r>
      <w:r w:rsidRPr="00573136">
        <w:rPr>
          <w:rFonts w:ascii="Lato" w:hAnsi="Lato"/>
          <w:lang w:eastAsia="pl-PL"/>
        </w:rPr>
        <w:t xml:space="preserve">ustawy z dnia 17 czerwca 1966 r. </w:t>
      </w:r>
      <w:r>
        <w:rPr>
          <w:rFonts w:ascii="Lato" w:hAnsi="Lato"/>
          <w:lang w:eastAsia="pl-PL"/>
        </w:rPr>
        <w:br/>
      </w:r>
      <w:r w:rsidRPr="00573136">
        <w:rPr>
          <w:rFonts w:ascii="Lato" w:hAnsi="Lato"/>
          <w:lang w:eastAsia="pl-PL"/>
        </w:rPr>
        <w:t>o postępowaniu egzekucyjnym w ad</w:t>
      </w:r>
      <w:r>
        <w:rPr>
          <w:rFonts w:ascii="Lato" w:hAnsi="Lato"/>
          <w:lang w:eastAsia="pl-PL"/>
        </w:rPr>
        <w:t>m</w:t>
      </w:r>
      <w:r w:rsidRPr="00573136">
        <w:rPr>
          <w:rFonts w:ascii="Lato" w:hAnsi="Lato"/>
          <w:lang w:eastAsia="pl-PL"/>
        </w:rPr>
        <w:t xml:space="preserve">inistracji (Dz.U. z </w:t>
      </w:r>
      <w:r w:rsidR="00366108">
        <w:rPr>
          <w:rFonts w:ascii="Lato" w:hAnsi="Lato"/>
          <w:lang w:eastAsia="pl-PL"/>
        </w:rPr>
        <w:t>2025</w:t>
      </w:r>
      <w:r w:rsidRPr="00573136">
        <w:rPr>
          <w:rFonts w:ascii="Lato" w:hAnsi="Lato"/>
          <w:lang w:eastAsia="pl-PL"/>
        </w:rPr>
        <w:t xml:space="preserve"> r. poz.</w:t>
      </w:r>
      <w:r w:rsidR="00366108">
        <w:rPr>
          <w:rFonts w:ascii="Lato" w:hAnsi="Lato"/>
          <w:lang w:eastAsia="pl-PL"/>
        </w:rPr>
        <w:t>132</w:t>
      </w:r>
      <w:r w:rsidRPr="00573136">
        <w:rPr>
          <w:rFonts w:ascii="Lato" w:hAnsi="Lato"/>
          <w:lang w:eastAsia="pl-PL"/>
        </w:rPr>
        <w:t>).</w:t>
      </w:r>
    </w:p>
    <w:p w14:paraId="348D6695" w14:textId="77777777" w:rsidR="007C1A1B" w:rsidRPr="0067340C" w:rsidRDefault="007C1A1B" w:rsidP="0067340C"/>
    <w:sectPr w:rsidR="007C1A1B" w:rsidRPr="0067340C" w:rsidSect="0067340C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EF71" w14:textId="77777777" w:rsidR="00203F8F" w:rsidRDefault="00203F8F" w:rsidP="00696628">
      <w:r>
        <w:separator/>
      </w:r>
    </w:p>
  </w:endnote>
  <w:endnote w:type="continuationSeparator" w:id="0">
    <w:p w14:paraId="32304434" w14:textId="77777777" w:rsidR="00203F8F" w:rsidRDefault="00203F8F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B788" w14:textId="77777777" w:rsidR="00203F8F" w:rsidRDefault="00203F8F" w:rsidP="00696628">
      <w:r>
        <w:separator/>
      </w:r>
    </w:p>
  </w:footnote>
  <w:footnote w:type="continuationSeparator" w:id="0">
    <w:p w14:paraId="6FFE6CF9" w14:textId="77777777" w:rsidR="00203F8F" w:rsidRDefault="00203F8F" w:rsidP="0069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91D"/>
    <w:multiLevelType w:val="multilevel"/>
    <w:tmpl w:val="D9F65A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67438"/>
    <w:multiLevelType w:val="multilevel"/>
    <w:tmpl w:val="C60C44C6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891446">
    <w:abstractNumId w:val="0"/>
  </w:num>
  <w:num w:numId="2" w16cid:durableId="23462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EF"/>
    <w:rsid w:val="00034FE9"/>
    <w:rsid w:val="00043991"/>
    <w:rsid w:val="0008005F"/>
    <w:rsid w:val="000A7239"/>
    <w:rsid w:val="000B397E"/>
    <w:rsid w:val="000E3E94"/>
    <w:rsid w:val="000E7E4F"/>
    <w:rsid w:val="0017532B"/>
    <w:rsid w:val="00203F8F"/>
    <w:rsid w:val="002A5775"/>
    <w:rsid w:val="002C0B63"/>
    <w:rsid w:val="00366108"/>
    <w:rsid w:val="003671C1"/>
    <w:rsid w:val="003B25A0"/>
    <w:rsid w:val="003E48F6"/>
    <w:rsid w:val="00433509"/>
    <w:rsid w:val="00452CFB"/>
    <w:rsid w:val="0046417C"/>
    <w:rsid w:val="005577C0"/>
    <w:rsid w:val="005C1AC2"/>
    <w:rsid w:val="005D59BE"/>
    <w:rsid w:val="005D78B1"/>
    <w:rsid w:val="005E6339"/>
    <w:rsid w:val="0067340C"/>
    <w:rsid w:val="00696628"/>
    <w:rsid w:val="00741409"/>
    <w:rsid w:val="00786E6E"/>
    <w:rsid w:val="007C1A1B"/>
    <w:rsid w:val="0080018B"/>
    <w:rsid w:val="00885EE7"/>
    <w:rsid w:val="00887B0F"/>
    <w:rsid w:val="008A26C2"/>
    <w:rsid w:val="008A5A7C"/>
    <w:rsid w:val="008F15FD"/>
    <w:rsid w:val="00937D18"/>
    <w:rsid w:val="0099289A"/>
    <w:rsid w:val="009A4798"/>
    <w:rsid w:val="009A69FA"/>
    <w:rsid w:val="00C52B48"/>
    <w:rsid w:val="00D255E5"/>
    <w:rsid w:val="00EB67EF"/>
    <w:rsid w:val="00EB7CB4"/>
    <w:rsid w:val="00F35161"/>
    <w:rsid w:val="00FA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79E51C"/>
  <w15:docId w15:val="{342A6731-5250-46AC-9607-22FED5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nhideWhenUsed/>
    <w:qFormat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eop">
    <w:name w:val="eop"/>
    <w:basedOn w:val="Domylnaczcionkaakapitu"/>
    <w:qFormat/>
    <w:rsid w:val="000B397E"/>
  </w:style>
  <w:style w:type="character" w:customStyle="1" w:styleId="Nagwek2Znak">
    <w:name w:val="Nagłówek 2 Znak"/>
    <w:basedOn w:val="Domylnaczcionkaakapitu"/>
    <w:link w:val="Nagwek2"/>
    <w:uiPriority w:val="9"/>
    <w:qFormat/>
    <w:rsid w:val="005D78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8A5A7C"/>
    <w:pPr>
      <w:widowControl w:val="0"/>
      <w:suppressAutoHyphens/>
      <w:spacing w:before="120" w:after="0" w:line="276" w:lineRule="auto"/>
    </w:pPr>
    <w:rPr>
      <w:rFonts w:eastAsia="Lato" w:cstheme="minorHAnsi"/>
      <w:color w:val="000000" w:themeColor="text1"/>
    </w:rPr>
  </w:style>
  <w:style w:type="paragraph" w:customStyle="1" w:styleId="rdtytuKAS">
    <w:name w:val="Śródtytuł KAS"/>
    <w:basedOn w:val="Nagwek2"/>
    <w:link w:val="rdtytuKASZnak"/>
    <w:qFormat/>
    <w:rsid w:val="008A5A7C"/>
    <w:pPr>
      <w:suppressAutoHyphens/>
      <w:spacing w:before="240" w:line="276" w:lineRule="auto"/>
      <w:contextualSpacing/>
    </w:pPr>
    <w:rPr>
      <w:rFonts w:cstheme="minorHAnsi"/>
      <w:b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8A5A7C"/>
    <w:rPr>
      <w:rFonts w:ascii="Cambria" w:eastAsia="Lato" w:hAnsi="Cambria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8A5A7C"/>
    <w:pPr>
      <w:widowControl w:val="0"/>
      <w:numPr>
        <w:numId w:val="1"/>
      </w:numPr>
      <w:suppressAutoHyphens/>
      <w:spacing w:before="120" w:line="276" w:lineRule="auto"/>
      <w:ind w:left="284" w:hanging="284"/>
    </w:pPr>
    <w:rPr>
      <w:rFonts w:asciiTheme="minorHAnsi" w:eastAsia="Lato" w:hAnsiTheme="minorHAnsi" w:cstheme="minorHAnsi"/>
      <w:color w:val="000000" w:themeColor="text1"/>
      <w:szCs w:val="22"/>
    </w:rPr>
  </w:style>
  <w:style w:type="character" w:customStyle="1" w:styleId="rdtytuKASZnak">
    <w:name w:val="Śródtytuł KAS Znak"/>
    <w:basedOn w:val="Nagwek2Znak"/>
    <w:link w:val="rdtytuKAS"/>
    <w:uiPriority w:val="1"/>
    <w:rsid w:val="008A5A7C"/>
    <w:rPr>
      <w:rFonts w:asciiTheme="majorHAnsi" w:eastAsiaTheme="majorEastAsia" w:hAnsiTheme="majorHAnsi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8A5A7C"/>
    <w:rPr>
      <w:rFonts w:eastAsia="Lato" w:cstheme="minorHAnsi"/>
      <w:color w:val="000000" w:themeColor="text1"/>
      <w:sz w:val="24"/>
    </w:rPr>
  </w:style>
  <w:style w:type="paragraph" w:customStyle="1" w:styleId="Standard">
    <w:name w:val="Standard"/>
    <w:qFormat/>
    <w:rsid w:val="008A5A7C"/>
    <w:pPr>
      <w:suppressAutoHyphens/>
      <w:overflowPunct w:val="0"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A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A7C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340C"/>
    <w:rPr>
      <w:color w:val="0563C1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67340C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morskie.kas.gov.pl/urzad-skarbowy-w-malbor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Wojtysiak Anita</cp:lastModifiedBy>
  <cp:revision>4</cp:revision>
  <dcterms:created xsi:type="dcterms:W3CDTF">2024-11-21T11:34:00Z</dcterms:created>
  <dcterms:modified xsi:type="dcterms:W3CDTF">2025-02-07T11:43:00Z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