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7B" w:rsidRPr="0085257A" w:rsidRDefault="00F36A7C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color w:val="000000" w:themeColor="text1"/>
          <w:sz w:val="28"/>
          <w:szCs w:val="28"/>
        </w:rPr>
      </w:pPr>
      <w:bookmarkStart w:id="0" w:name="_GoBack"/>
      <w:bookmarkEnd w:id="0"/>
      <w:r w:rsidRPr="0085257A">
        <w:rPr>
          <w:noProof/>
          <w:color w:val="000000" w:themeColor="text1"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&#10;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&#10;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257A">
        <w:rPr>
          <w:rFonts w:ascii="Lato" w:hAnsi="Lato" w:cstheme="minorHAnsi"/>
          <w:b/>
          <w:caps/>
          <w:color w:val="000000" w:themeColor="text1"/>
          <w:sz w:val="28"/>
          <w:szCs w:val="28"/>
        </w:rPr>
        <w:t>Naczelnik DRUGIEGO</w:t>
      </w:r>
    </w:p>
    <w:p w:rsidR="0064487B" w:rsidRPr="0085257A" w:rsidRDefault="00F36A7C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color w:val="000000" w:themeColor="text1"/>
          <w:sz w:val="28"/>
          <w:szCs w:val="28"/>
        </w:rPr>
      </w:pPr>
      <w:r w:rsidRPr="0085257A">
        <w:rPr>
          <w:rFonts w:ascii="Lato" w:hAnsi="Lato" w:cstheme="minorHAnsi"/>
          <w:b/>
          <w:caps/>
          <w:color w:val="000000" w:themeColor="text1"/>
          <w:sz w:val="28"/>
          <w:szCs w:val="28"/>
        </w:rPr>
        <w:t>Urzędu skarbowego</w:t>
      </w:r>
    </w:p>
    <w:p w:rsidR="0064487B" w:rsidRPr="0085257A" w:rsidRDefault="00F36A7C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color w:val="000000" w:themeColor="text1"/>
          <w:sz w:val="28"/>
          <w:szCs w:val="28"/>
        </w:rPr>
      </w:pPr>
      <w:r w:rsidRPr="0085257A">
        <w:rPr>
          <w:rFonts w:ascii="Lato" w:hAnsi="Lato" w:cstheme="minorHAnsi"/>
          <w:b/>
          <w:caps/>
          <w:color w:val="000000" w:themeColor="text1"/>
          <w:sz w:val="28"/>
          <w:szCs w:val="28"/>
        </w:rPr>
        <w:t>w GDYNI</w:t>
      </w:r>
    </w:p>
    <w:p w:rsidR="0064487B" w:rsidRPr="0085257A" w:rsidRDefault="0064487B">
      <w:pPr>
        <w:spacing w:after="0"/>
        <w:contextualSpacing/>
        <w:jc w:val="right"/>
        <w:rPr>
          <w:rFonts w:ascii="Lato" w:hAnsi="Lato"/>
          <w:color w:val="000000" w:themeColor="text1"/>
        </w:rPr>
      </w:pPr>
    </w:p>
    <w:p w:rsidR="0064487B" w:rsidRPr="0085257A" w:rsidRDefault="00F36A7C">
      <w:pPr>
        <w:spacing w:after="0"/>
        <w:contextualSpacing/>
        <w:jc w:val="right"/>
        <w:rPr>
          <w:rFonts w:ascii="Lato" w:hAnsi="Lato"/>
          <w:color w:val="000000" w:themeColor="text1"/>
        </w:rPr>
      </w:pPr>
      <w:r w:rsidRPr="0085257A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63500" distL="121920" distR="120015" simplePos="0" relativeHeight="8" behindDoc="0" locked="0" layoutInCell="0" allowOverlap="0" wp14:anchorId="3E0D96D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85" cy="635"/>
                <wp:effectExtent l="635" t="6350" r="0" b="63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85pt" to="453.5pt,2.85pt" ID="Łącznik prosty 2" stroked="t" o:allowincell="f" style="position:absolute" wp14:anchorId="3E0D96D5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 w:rsidRPr="0085257A">
        <w:rPr>
          <w:rFonts w:ascii="Lato" w:hAnsi="Lato"/>
          <w:color w:val="000000" w:themeColor="text1"/>
        </w:rPr>
        <w:t xml:space="preserve">Gdynia,   3 stycznia  </w:t>
      </w:r>
      <w:r w:rsidRPr="0085257A">
        <w:rPr>
          <w:rFonts w:ascii="Lato" w:hAnsi="Lato"/>
          <w:iCs/>
          <w:color w:val="000000" w:themeColor="text1"/>
        </w:rPr>
        <w:t>2025 roku</w:t>
      </w:r>
    </w:p>
    <w:p w:rsidR="0064487B" w:rsidRPr="0085257A" w:rsidRDefault="00F36A7C">
      <w:pPr>
        <w:pStyle w:val="TytupismaKAS"/>
        <w:jc w:val="center"/>
        <w:rPr>
          <w:rFonts w:ascii="Lato" w:hAnsi="Lato"/>
          <w:color w:val="000000" w:themeColor="text1"/>
        </w:rPr>
      </w:pPr>
      <w:r w:rsidRPr="0085257A">
        <w:rPr>
          <w:rFonts w:ascii="Lato" w:hAnsi="Lato"/>
          <w:color w:val="000000" w:themeColor="text1"/>
        </w:rPr>
        <w:t>OBWIESZCZENIE O PIERWSZEJ LICYTACJI NIERUCHOMOŚCI</w:t>
      </w:r>
    </w:p>
    <w:p w:rsidR="0064487B" w:rsidRPr="0085257A" w:rsidRDefault="00F36A7C">
      <w:pPr>
        <w:pStyle w:val="Standard"/>
        <w:spacing w:before="288" w:after="0" w:line="240" w:lineRule="auto"/>
        <w:rPr>
          <w:rFonts w:ascii="Lato" w:hAnsi="Lato"/>
          <w:bCs/>
          <w:color w:val="000000" w:themeColor="text1"/>
          <w:sz w:val="24"/>
          <w:szCs w:val="24"/>
        </w:rPr>
      </w:pPr>
      <w:r w:rsidRPr="0085257A">
        <w:rPr>
          <w:rFonts w:ascii="Lato" w:hAnsi="Lato"/>
          <w:bCs/>
          <w:color w:val="000000" w:themeColor="text1"/>
          <w:sz w:val="24"/>
          <w:szCs w:val="24"/>
        </w:rPr>
        <w:t>Szanowni Państwo,</w:t>
      </w:r>
    </w:p>
    <w:p w:rsidR="0064487B" w:rsidRPr="0085257A" w:rsidRDefault="00F36A7C">
      <w:pPr>
        <w:pStyle w:val="Standard"/>
        <w:spacing w:before="288" w:after="0" w:line="276" w:lineRule="auto"/>
        <w:jc w:val="both"/>
        <w:rPr>
          <w:rFonts w:ascii="Lato" w:eastAsiaTheme="majorEastAsia" w:hAnsi="Lato" w:cs="Calibri"/>
          <w:color w:val="000000" w:themeColor="text1"/>
          <w:sz w:val="24"/>
          <w:szCs w:val="24"/>
          <w:lang w:val="fr-FR"/>
        </w:rPr>
      </w:pPr>
      <w:r w:rsidRPr="0085257A">
        <w:rPr>
          <w:rFonts w:ascii="Lato" w:hAnsi="Lato"/>
          <w:bCs/>
          <w:color w:val="000000" w:themeColor="text1"/>
          <w:sz w:val="24"/>
          <w:szCs w:val="24"/>
        </w:rPr>
        <w:t xml:space="preserve">informuję o sprzedaży w drodze licytacji publicznej </w:t>
      </w:r>
      <w:r w:rsidRPr="0085257A">
        <w:rPr>
          <w:rFonts w:ascii="Lato" w:eastAsia="Times New Roman" w:hAnsi="Lato" w:cs="Times New Roman"/>
          <w:color w:val="000000" w:themeColor="text1"/>
          <w:sz w:val="24"/>
          <w:szCs w:val="24"/>
        </w:rPr>
        <w:t>nieruchomości gruntowej zabudowanej stanowiącej działkę ewidencyjną numer 3314</w:t>
      </w:r>
      <w:r w:rsidRPr="0085257A">
        <w:rPr>
          <w:rFonts w:ascii="Lato" w:eastAsia="Times New Roman" w:hAnsi="Lato" w:cs="Times New Roman"/>
          <w:color w:val="000000" w:themeColor="text1"/>
          <w:sz w:val="24"/>
          <w:szCs w:val="24"/>
        </w:rPr>
        <w:br/>
        <w:t>o powierzchni 337m</w:t>
      </w:r>
      <w:r w:rsidRPr="0085257A">
        <w:rPr>
          <w:rFonts w:ascii="Lato" w:eastAsia="Times New Roman" w:hAnsi="Lato" w:cs="Times New Roman"/>
          <w:color w:val="000000" w:themeColor="text1"/>
          <w:sz w:val="24"/>
          <w:szCs w:val="24"/>
          <w:vertAlign w:val="superscript"/>
        </w:rPr>
        <w:t>2</w:t>
      </w:r>
      <w:r w:rsidRPr="0085257A">
        <w:rPr>
          <w:rFonts w:ascii="Lato" w:eastAsia="Times New Roman" w:hAnsi="Lato" w:cs="Times New Roman"/>
          <w:color w:val="000000" w:themeColor="text1"/>
          <w:sz w:val="24"/>
          <w:szCs w:val="24"/>
        </w:rPr>
        <w:t xml:space="preserve"> położonej w województwie pomorskim  powiat M. Gdynia, gmina M. Gdynia przy ul. Anyżowej 16 w Gdyni, dla której  Sąd Rejonowy w Gdyni V Wydział Ksiąg Wieczystych prowadzi, księgę wieczystą nr GD1Y/00032672/2. </w:t>
      </w:r>
      <w:r w:rsidRPr="0085257A">
        <w:rPr>
          <w:rStyle w:val="Teksttreci"/>
          <w:rFonts w:ascii="Lato" w:eastAsia="Times New Roman" w:hAnsi="Lato" w:cs="Times New Roman"/>
          <w:color w:val="000000" w:themeColor="text1"/>
          <w:sz w:val="24"/>
          <w:szCs w:val="24"/>
        </w:rPr>
        <w:t>Nieruchomość jest zabudowana budynkiem mieszkalnym jednorodzinnym w zabudowie szeregowej</w:t>
      </w:r>
      <w:r w:rsidRPr="0085257A">
        <w:rPr>
          <w:rStyle w:val="Teksttreci"/>
          <w:rFonts w:ascii="Lato" w:eastAsia="Times New Roman" w:hAnsi="Lato" w:cs="Times New Roman"/>
          <w:color w:val="000000" w:themeColor="text1"/>
          <w:sz w:val="24"/>
          <w:szCs w:val="24"/>
        </w:rPr>
        <w:br/>
        <w:t>o 3 kondygnacjach, podpiwniczonym o powierzchni użytkowej 109,32 m</w:t>
      </w:r>
      <w:r w:rsidRPr="0085257A">
        <w:rPr>
          <w:rStyle w:val="Teksttreci"/>
          <w:rFonts w:ascii="Lato" w:eastAsia="Times New Roman" w:hAnsi="Lato" w:cs="Times New Roman"/>
          <w:color w:val="000000" w:themeColor="text1"/>
          <w:sz w:val="24"/>
          <w:szCs w:val="24"/>
          <w:vertAlign w:val="superscript"/>
        </w:rPr>
        <w:t>2</w:t>
      </w:r>
      <w:r w:rsidRPr="0085257A">
        <w:rPr>
          <w:rStyle w:val="Teksttreci"/>
          <w:rFonts w:ascii="Lato" w:eastAsia="Cambria" w:hAnsi="Lato" w:cs="Calibri"/>
          <w:color w:val="000000" w:themeColor="text1"/>
          <w:sz w:val="24"/>
          <w:szCs w:val="24"/>
          <w:lang w:eastAsia="pl-PL"/>
        </w:rPr>
        <w:t>. Powierzchnia zabudowy wynosi 72 m</w:t>
      </w:r>
      <w:r w:rsidRPr="0085257A">
        <w:rPr>
          <w:rStyle w:val="Teksttreci"/>
          <w:rFonts w:ascii="Lato" w:eastAsia="Cambria" w:hAnsi="Lato" w:cs="Calibri"/>
          <w:color w:val="000000" w:themeColor="text1"/>
          <w:sz w:val="24"/>
          <w:szCs w:val="24"/>
          <w:vertAlign w:val="superscript"/>
          <w:lang w:eastAsia="pl-PL"/>
        </w:rPr>
        <w:t>2</w:t>
      </w:r>
      <w:r w:rsidRPr="0085257A">
        <w:rPr>
          <w:rStyle w:val="Teksttreci"/>
          <w:rFonts w:ascii="Lato" w:eastAsia="Cambria" w:hAnsi="Lato" w:cs="Calibri"/>
          <w:color w:val="000000" w:themeColor="text1"/>
          <w:sz w:val="24"/>
          <w:szCs w:val="24"/>
          <w:lang w:eastAsia="pl-PL"/>
        </w:rPr>
        <w:t>.</w:t>
      </w:r>
    </w:p>
    <w:p w:rsidR="0064487B" w:rsidRPr="0085257A" w:rsidRDefault="00F36A7C">
      <w:pPr>
        <w:pStyle w:val="Standard"/>
        <w:spacing w:before="288" w:after="0" w:line="276" w:lineRule="auto"/>
        <w:rPr>
          <w:rFonts w:ascii="Lato" w:hAnsi="Lato"/>
          <w:bCs/>
          <w:color w:val="000000" w:themeColor="text1"/>
          <w:sz w:val="24"/>
          <w:szCs w:val="24"/>
        </w:rPr>
      </w:pPr>
      <w:r w:rsidRPr="0085257A">
        <w:rPr>
          <w:rFonts w:ascii="Lato" w:hAnsi="Lato"/>
          <w:bCs/>
          <w:color w:val="000000" w:themeColor="text1"/>
          <w:sz w:val="24"/>
          <w:szCs w:val="24"/>
        </w:rPr>
        <w:t>należącej do Pani Anny Stępień</w:t>
      </w:r>
    </w:p>
    <w:p w:rsidR="0064487B" w:rsidRPr="0085257A" w:rsidRDefault="00F36A7C">
      <w:pPr>
        <w:spacing w:before="240" w:after="240"/>
        <w:rPr>
          <w:rFonts w:ascii="Lato" w:hAnsi="Lato"/>
          <w:color w:val="000000" w:themeColor="text1"/>
          <w:lang w:val="fr-FR"/>
        </w:rPr>
      </w:pPr>
      <w:r w:rsidRPr="0085257A">
        <w:rPr>
          <w:rStyle w:val="Nagwek2Znak"/>
          <w:rFonts w:ascii="Lato" w:hAnsi="Lato"/>
          <w:color w:val="000000" w:themeColor="text1"/>
        </w:rPr>
        <w:t>Termin</w:t>
      </w:r>
      <w:r w:rsidRPr="0085257A">
        <w:rPr>
          <w:rStyle w:val="Nagwek2Znak"/>
          <w:rFonts w:ascii="Lato" w:hAnsi="Lato"/>
          <w:color w:val="000000" w:themeColor="text1"/>
        </w:rPr>
        <w:tab/>
      </w:r>
      <w:r w:rsidRPr="0085257A">
        <w:rPr>
          <w:rStyle w:val="Nagwek2Znak"/>
          <w:rFonts w:ascii="Lato" w:hAnsi="Lato"/>
          <w:color w:val="000000" w:themeColor="text1"/>
        </w:rPr>
        <w:tab/>
        <w:t xml:space="preserve"> </w:t>
      </w:r>
      <w:r w:rsidRPr="0085257A">
        <w:rPr>
          <w:rStyle w:val="Nagwek2Znak"/>
          <w:rFonts w:ascii="Lato" w:hAnsi="Lato"/>
          <w:b w:val="0"/>
          <w:iCs/>
          <w:color w:val="000000" w:themeColor="text1"/>
          <w:sz w:val="24"/>
          <w:szCs w:val="24"/>
        </w:rPr>
        <w:t>17 lutego</w:t>
      </w:r>
      <w:r w:rsidRPr="0085257A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 xml:space="preserve"> 2025 roku,  godz. 11.00</w:t>
      </w:r>
    </w:p>
    <w:p w:rsidR="0064487B" w:rsidRPr="0085257A" w:rsidRDefault="00F36A7C">
      <w:pPr>
        <w:spacing w:before="240" w:after="240"/>
        <w:ind w:left="1418" w:hanging="1418"/>
        <w:jc w:val="both"/>
        <w:rPr>
          <w:rFonts w:ascii="Lato" w:hAnsi="Lato"/>
          <w:color w:val="000000" w:themeColor="text1"/>
        </w:rPr>
      </w:pPr>
      <w:r w:rsidRPr="0085257A">
        <w:rPr>
          <w:rStyle w:val="Nagwek2Znak"/>
          <w:rFonts w:ascii="Lato" w:hAnsi="Lato"/>
          <w:color w:val="000000" w:themeColor="text1"/>
        </w:rPr>
        <w:t>Miejsce</w:t>
      </w:r>
      <w:r w:rsidRPr="0085257A">
        <w:rPr>
          <w:rStyle w:val="Nagwek2Znak"/>
          <w:rFonts w:ascii="Lato" w:hAnsi="Lato"/>
          <w:color w:val="000000" w:themeColor="text1"/>
        </w:rPr>
        <w:tab/>
      </w:r>
      <w:r w:rsidRPr="0085257A">
        <w:rPr>
          <w:rFonts w:ascii="Lato" w:hAnsi="Lato"/>
          <w:color w:val="000000" w:themeColor="text1"/>
          <w:lang w:val="fr-FR"/>
        </w:rPr>
        <w:tab/>
      </w:r>
      <w:r w:rsidRPr="0085257A">
        <w:rPr>
          <w:rFonts w:ascii="Lato" w:hAnsi="Lato"/>
          <w:bCs/>
          <w:color w:val="000000" w:themeColor="text1"/>
          <w:sz w:val="24"/>
          <w:szCs w:val="24"/>
          <w:lang w:val="fr-FR"/>
        </w:rPr>
        <w:t>Drugi Urząd Skarbowy w Gdyni ul. Hutnicza 25, 81-061 Gdynia</w:t>
      </w:r>
    </w:p>
    <w:p w:rsidR="0064487B" w:rsidRPr="0085257A" w:rsidRDefault="00F36A7C">
      <w:pPr>
        <w:pStyle w:val="Tekstpodstawowy"/>
        <w:spacing w:line="23" w:lineRule="atLeast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 w:rsidRPr="0085257A">
        <w:rPr>
          <w:rFonts w:ascii="Lato" w:hAnsi="Lato"/>
          <w:b/>
          <w:bCs/>
          <w:color w:val="000000" w:themeColor="text1"/>
          <w:sz w:val="28"/>
          <w:szCs w:val="28"/>
        </w:rPr>
        <w:t>Wartość szacunkowa nieruchomości</w:t>
      </w:r>
      <w:r w:rsidRPr="0085257A">
        <w:rPr>
          <w:rFonts w:ascii="Lato" w:hAnsi="Lato"/>
          <w:color w:val="000000" w:themeColor="text1"/>
        </w:rPr>
        <w:t xml:space="preserve">  </w:t>
      </w:r>
      <w:r w:rsidRPr="0085257A">
        <w:rPr>
          <w:rFonts w:ascii="Lato" w:eastAsiaTheme="majorEastAsia" w:hAnsi="Lato" w:cs="Calibri"/>
          <w:color w:val="000000" w:themeColor="text1"/>
          <w:lang w:val="fr-FR"/>
        </w:rPr>
        <w:t>834.000,00 zł</w:t>
      </w:r>
    </w:p>
    <w:p w:rsidR="0064487B" w:rsidRPr="0085257A" w:rsidRDefault="00F36A7C">
      <w:pPr>
        <w:pStyle w:val="Tekstpodstawowy"/>
        <w:spacing w:line="23" w:lineRule="atLeast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 w:rsidRPr="0085257A">
        <w:rPr>
          <w:rStyle w:val="Nagwek2Znak"/>
          <w:rFonts w:ascii="Lato" w:hAnsi="Lato"/>
          <w:color w:val="000000" w:themeColor="text1"/>
        </w:rPr>
        <w:t xml:space="preserve">Cena wywołania  </w:t>
      </w:r>
      <w:r w:rsidRPr="0085257A">
        <w:rPr>
          <w:rStyle w:val="Nagwek2Znak"/>
          <w:rFonts w:ascii="Lato" w:hAnsi="Lato" w:cs="Calibri"/>
          <w:b w:val="0"/>
          <w:color w:val="000000" w:themeColor="text1"/>
          <w:sz w:val="24"/>
          <w:szCs w:val="24"/>
          <w:lang w:val="fr-FR"/>
        </w:rPr>
        <w:t>625.500,00 zł</w:t>
      </w:r>
    </w:p>
    <w:p w:rsidR="0064487B" w:rsidRPr="0085257A" w:rsidRDefault="00F36A7C">
      <w:pPr>
        <w:pStyle w:val="Tekstpodstawowy"/>
        <w:spacing w:line="23" w:lineRule="atLeast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 w:rsidRPr="0085257A">
        <w:rPr>
          <w:rStyle w:val="Nagwek2Znak"/>
          <w:rFonts w:ascii="Lato" w:hAnsi="Lato"/>
          <w:color w:val="000000" w:themeColor="text1"/>
        </w:rPr>
        <w:t xml:space="preserve">Wadium </w:t>
      </w:r>
      <w:r w:rsidRPr="0085257A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>83.400,00</w:t>
      </w:r>
      <w:r w:rsidRPr="0085257A">
        <w:rPr>
          <w:rStyle w:val="Nagwek2Znak"/>
          <w:rFonts w:ascii="Lato" w:hAnsi="Lato" w:cs="Calibri"/>
          <w:b w:val="0"/>
          <w:color w:val="000000" w:themeColor="text1"/>
          <w:sz w:val="24"/>
          <w:szCs w:val="24"/>
          <w:lang w:val="fr-FR"/>
        </w:rPr>
        <w:t xml:space="preserve"> zł</w:t>
      </w:r>
    </w:p>
    <w:p w:rsidR="0064487B" w:rsidRPr="0085257A" w:rsidRDefault="00F36A7C">
      <w:pPr>
        <w:pStyle w:val="Standard"/>
        <w:spacing w:after="0"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85257A">
        <w:rPr>
          <w:rFonts w:ascii="Lato" w:hAnsi="Lato"/>
          <w:bCs/>
          <w:color w:val="000000" w:themeColor="text1"/>
          <w:sz w:val="24"/>
          <w:szCs w:val="24"/>
        </w:rPr>
        <w:t xml:space="preserve">Warunkiem przystąpienia do licytacji nieruchomości jest wpłata wadium. </w:t>
      </w:r>
      <w:r w:rsidRPr="0085257A">
        <w:rPr>
          <w:rFonts w:ascii="Lato" w:hAnsi="Lato"/>
          <w:bCs/>
          <w:color w:val="000000" w:themeColor="text1"/>
          <w:sz w:val="24"/>
          <w:szCs w:val="24"/>
        </w:rPr>
        <w:tab/>
      </w:r>
      <w:r w:rsidRPr="0085257A">
        <w:rPr>
          <w:rFonts w:ascii="Lato" w:hAnsi="Lato"/>
          <w:bCs/>
          <w:color w:val="000000" w:themeColor="text1"/>
          <w:sz w:val="24"/>
          <w:szCs w:val="24"/>
        </w:rPr>
        <w:tab/>
      </w:r>
    </w:p>
    <w:p w:rsidR="0064487B" w:rsidRPr="0085257A" w:rsidRDefault="00F36A7C">
      <w:pPr>
        <w:pStyle w:val="TekstpismaKAS"/>
        <w:spacing w:before="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85257A">
        <w:rPr>
          <w:rFonts w:ascii="Lato" w:eastAsia="Times New Roman" w:hAnsi="Lato"/>
          <w:bCs/>
          <w:color w:val="000000" w:themeColor="text1"/>
          <w:lang w:eastAsia="pl-PL"/>
        </w:rPr>
        <w:t xml:space="preserve">Wadium proszę </w:t>
      </w:r>
      <w:r w:rsidRPr="0085257A">
        <w:rPr>
          <w:rFonts w:ascii="Lato" w:hAnsi="Lato"/>
          <w:bCs/>
          <w:color w:val="000000" w:themeColor="text1"/>
          <w:lang w:eastAsia="pl-PL"/>
        </w:rPr>
        <w:t xml:space="preserve">wpłacić na rachunek bankowy Drugiego Urzędu Skarbowego w Gdyni prowadzony przez Narodowy Bank Polski O/O Gdańsk </w:t>
      </w:r>
      <w:r w:rsidRPr="0085257A">
        <w:rPr>
          <w:rFonts w:ascii="Lato" w:eastAsia="Times New Roman" w:hAnsi="Lato"/>
          <w:bCs/>
          <w:color w:val="000000" w:themeColor="text1"/>
          <w:lang w:eastAsia="pl-PL"/>
        </w:rPr>
        <w:t xml:space="preserve"> nr 25 1010 1140 0165 4813 9120 000. W treści przelewu proszę zamieścić </w:t>
      </w:r>
      <w:r w:rsidRPr="0085257A">
        <w:rPr>
          <w:rFonts w:ascii="Lato" w:eastAsia="Times New Roman" w:hAnsi="Lato"/>
          <w:bCs/>
          <w:iCs/>
          <w:color w:val="000000" w:themeColor="text1"/>
          <w:lang w:eastAsia="pl-PL"/>
        </w:rPr>
        <w:t>„licytacja nieruchomości Gdynia,</w:t>
      </w:r>
      <w:r w:rsidRPr="0085257A">
        <w:rPr>
          <w:rFonts w:ascii="Lato" w:eastAsia="Times New Roman" w:hAnsi="Lato"/>
          <w:bCs/>
          <w:iCs/>
          <w:color w:val="000000" w:themeColor="text1"/>
          <w:lang w:eastAsia="pl-PL"/>
        </w:rPr>
        <w:br/>
        <w:t>ul. Anyżowa 16”.</w:t>
      </w:r>
    </w:p>
    <w:p w:rsidR="0064487B" w:rsidRPr="0085257A" w:rsidRDefault="00F36A7C">
      <w:pPr>
        <w:pStyle w:val="TekstpismaKAS"/>
        <w:jc w:val="both"/>
        <w:rPr>
          <w:rFonts w:ascii="Lato" w:hAnsi="Lato"/>
          <w:color w:val="000000" w:themeColor="text1"/>
          <w:lang w:eastAsia="pl-PL"/>
        </w:rPr>
      </w:pPr>
      <w:r w:rsidRPr="0085257A">
        <w:rPr>
          <w:rFonts w:ascii="Lato" w:hAnsi="Lato"/>
          <w:color w:val="000000" w:themeColor="text1"/>
          <w:lang w:eastAsia="pl-PL"/>
        </w:rPr>
        <w:t>Wadium uznam za złożone, jeżeli wpłata zostanie uznana na naszym rachunku najpóźniej w dniu poprzedzającym dzień licytacji.</w:t>
      </w:r>
    </w:p>
    <w:p w:rsidR="0064487B" w:rsidRPr="0085257A" w:rsidRDefault="00F36A7C">
      <w:pPr>
        <w:pStyle w:val="TekstpismaKAS"/>
        <w:jc w:val="both"/>
        <w:rPr>
          <w:rFonts w:ascii="Lato" w:hAnsi="Lato"/>
          <w:color w:val="000000" w:themeColor="text1"/>
          <w:u w:val="single"/>
          <w:lang w:eastAsia="zh-CN"/>
        </w:rPr>
      </w:pPr>
      <w:r w:rsidRPr="0085257A">
        <w:rPr>
          <w:rFonts w:ascii="Lato" w:hAnsi="Lato"/>
          <w:color w:val="000000" w:themeColor="text1"/>
          <w:u w:val="single"/>
          <w:lang w:eastAsia="zh-CN"/>
        </w:rPr>
        <w:t xml:space="preserve">Zatrzymam wadium złożone przez licytanta, któremu udzielimy przybicia. </w:t>
      </w:r>
    </w:p>
    <w:p w:rsidR="0064487B" w:rsidRPr="0085257A" w:rsidRDefault="00F36A7C">
      <w:pPr>
        <w:pStyle w:val="TekstpismaKAS"/>
        <w:jc w:val="both"/>
        <w:rPr>
          <w:rFonts w:ascii="Lato" w:hAnsi="Lato"/>
          <w:color w:val="000000" w:themeColor="text1"/>
          <w:lang w:eastAsia="zh-CN"/>
        </w:rPr>
      </w:pPr>
      <w:r w:rsidRPr="0085257A">
        <w:rPr>
          <w:rFonts w:ascii="Lato" w:hAnsi="Lato"/>
          <w:color w:val="000000" w:themeColor="text1"/>
          <w:lang w:eastAsia="zh-CN"/>
        </w:rPr>
        <w:t xml:space="preserve">Pozostałym licytantom zwrócę wadium nie później niż w terminie 7 dni roboczych od dnia licytacji. </w:t>
      </w:r>
    </w:p>
    <w:p w:rsidR="0064487B" w:rsidRPr="0085257A" w:rsidRDefault="0064487B">
      <w:pPr>
        <w:pStyle w:val="TekstpismaKAS"/>
        <w:rPr>
          <w:rFonts w:ascii="Lato" w:eastAsia="Cambria" w:hAnsi="Lato" w:cs="Times New Roman"/>
          <w:color w:val="000000" w:themeColor="text1"/>
          <w:lang w:eastAsia="zh-CN"/>
        </w:rPr>
      </w:pPr>
    </w:p>
    <w:p w:rsidR="0064487B" w:rsidRPr="0085257A" w:rsidRDefault="0064487B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000000" w:themeColor="text1"/>
          <w:sz w:val="28"/>
          <w:szCs w:val="28"/>
        </w:rPr>
      </w:pPr>
    </w:p>
    <w:p w:rsidR="0064487B" w:rsidRPr="0085257A" w:rsidRDefault="0064487B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000000" w:themeColor="text1"/>
          <w:sz w:val="28"/>
          <w:szCs w:val="28"/>
        </w:rPr>
      </w:pPr>
    </w:p>
    <w:p w:rsidR="0064487B" w:rsidRPr="0085257A" w:rsidRDefault="00F36A7C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000000" w:themeColor="text1"/>
          <w:sz w:val="28"/>
          <w:szCs w:val="28"/>
        </w:rPr>
      </w:pPr>
      <w:r w:rsidRPr="0085257A">
        <w:rPr>
          <w:rFonts w:ascii="Lato" w:hAnsi="Lato"/>
          <w:b/>
          <w:bCs/>
          <w:color w:val="000000" w:themeColor="text1"/>
          <w:sz w:val="28"/>
          <w:szCs w:val="28"/>
        </w:rPr>
        <w:t>Termin i miejsce oglądania nieruchomości</w:t>
      </w:r>
    </w:p>
    <w:p w:rsidR="0064487B" w:rsidRPr="0085257A" w:rsidRDefault="00F36A7C">
      <w:pPr>
        <w:pStyle w:val="TekstpismaKAS"/>
        <w:spacing w:line="23" w:lineRule="atLeast"/>
        <w:jc w:val="both"/>
        <w:rPr>
          <w:color w:val="000000" w:themeColor="text1"/>
        </w:rPr>
      </w:pPr>
      <w:r w:rsidRPr="0085257A">
        <w:rPr>
          <w:rFonts w:ascii="Lato" w:hAnsi="Lato"/>
          <w:bCs/>
          <w:color w:val="000000" w:themeColor="text1"/>
        </w:rPr>
        <w:t xml:space="preserve">Nieruchomość można oglądać </w:t>
      </w:r>
      <w:r w:rsidRPr="0085257A">
        <w:rPr>
          <w:rFonts w:ascii="Lato" w:hAnsi="Lato"/>
          <w:color w:val="000000" w:themeColor="text1"/>
        </w:rPr>
        <w:t>w terminie od 3 lutego do 14  lutego 2025 roku,</w:t>
      </w:r>
      <w:r w:rsidRPr="0085257A">
        <w:rPr>
          <w:rFonts w:ascii="Lato" w:hAnsi="Lato"/>
          <w:color w:val="000000" w:themeColor="text1"/>
        </w:rPr>
        <w:br/>
        <w:t>w dni robocze po wcześniejszym uzgodnieniu telefonicznym pod numerem</w:t>
      </w:r>
      <w:r w:rsidRPr="0085257A">
        <w:rPr>
          <w:rFonts w:ascii="Lato" w:hAnsi="Lato"/>
          <w:color w:val="000000" w:themeColor="text1"/>
        </w:rPr>
        <w:br/>
        <w:t>58 76 54 866. W tym samym czasie mogą Państwo przeglądać akta postępowania egzekucyjnego bezpośrednio związane z nieruchomością (protokół opisu i oszacowania wraz z operatem szacunkowym) w siedzibie Drugiego Urzędu Skarbowego w Gdyni pok. 105, w godz. 8.00-15.00.</w:t>
      </w:r>
    </w:p>
    <w:p w:rsidR="0064487B" w:rsidRPr="0085257A" w:rsidRDefault="0064487B">
      <w:pPr>
        <w:pStyle w:val="Standard"/>
        <w:spacing w:after="0" w:line="240" w:lineRule="auto"/>
        <w:jc w:val="both"/>
        <w:rPr>
          <w:rFonts w:ascii="Lato" w:hAnsi="Lato"/>
          <w:b/>
          <w:bCs/>
          <w:color w:val="000000" w:themeColor="text1"/>
          <w:sz w:val="28"/>
          <w:szCs w:val="28"/>
        </w:rPr>
      </w:pPr>
    </w:p>
    <w:p w:rsidR="0064487B" w:rsidRPr="0085257A" w:rsidRDefault="00F36A7C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000000" w:themeColor="text1"/>
          <w:sz w:val="28"/>
          <w:szCs w:val="28"/>
        </w:rPr>
      </w:pPr>
      <w:r w:rsidRPr="0085257A">
        <w:rPr>
          <w:rFonts w:ascii="Lato" w:hAnsi="Lato"/>
          <w:b/>
          <w:bCs/>
          <w:color w:val="000000" w:themeColor="text1"/>
          <w:sz w:val="28"/>
          <w:szCs w:val="28"/>
        </w:rPr>
        <w:t>Pozostałe informacje</w:t>
      </w:r>
    </w:p>
    <w:p w:rsidR="0064487B" w:rsidRPr="0085257A" w:rsidRDefault="00F36A7C">
      <w:pPr>
        <w:pStyle w:val="Standard"/>
        <w:spacing w:before="120" w:after="0"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85257A">
        <w:rPr>
          <w:rFonts w:ascii="Lato" w:hAnsi="Lato"/>
          <w:bCs/>
          <w:color w:val="000000" w:themeColor="text1"/>
          <w:sz w:val="24"/>
          <w:szCs w:val="24"/>
        </w:rPr>
        <w:t>Sprzedaż nie jest opodatkowana podatkiem od towarów i usług. Sprzedaż nie jest opodatkowana podatkiem od czynności cywilnoprawnych.</w:t>
      </w:r>
    </w:p>
    <w:p w:rsidR="0064487B" w:rsidRPr="0085257A" w:rsidRDefault="00F36A7C">
      <w:pPr>
        <w:pStyle w:val="Standard"/>
        <w:spacing w:before="120" w:after="0"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85257A">
        <w:rPr>
          <w:rFonts w:ascii="Lato" w:hAnsi="Lato"/>
          <w:color w:val="000000" w:themeColor="text1"/>
          <w:sz w:val="24"/>
          <w:szCs w:val="24"/>
        </w:rPr>
        <w:t>Prawa osób trzecich nie będą przeszkodą do licytacji i przyznania nabywcy własności nieruchomości bez zastrzeżeń, jeżeli osoby te nie wystąpiły wcześniej o wyłączenie nieruchomości lub jej przynależności spod egzekucji.</w:t>
      </w:r>
    </w:p>
    <w:p w:rsidR="0064487B" w:rsidRPr="0085257A" w:rsidRDefault="00F36A7C">
      <w:pPr>
        <w:pStyle w:val="Standard"/>
        <w:spacing w:before="120" w:after="0"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85257A">
        <w:rPr>
          <w:rFonts w:ascii="Lato" w:hAnsi="Lato"/>
          <w:color w:val="000000" w:themeColor="text1"/>
          <w:sz w:val="24"/>
          <w:szCs w:val="24"/>
        </w:rPr>
        <w:t>Użytkowanie, służebności i prawa dożywotnika, jeżeli nie są ujawnione w księdze wieczystej lub przez złożenie dokumentu do zbioru dokumentów i nie zostaną zgłoszone najpóźniej na 3 dni przed rozpoczęciem licytacji, nie będą uwzględnione w dalszym toku egzekucji i wygasną z chwilą, w której postanowienie o przyznaniu własności stanie się ostateczne.</w:t>
      </w:r>
    </w:p>
    <w:p w:rsidR="0064487B" w:rsidRPr="0085257A" w:rsidRDefault="0064487B">
      <w:pPr>
        <w:pStyle w:val="Standard"/>
        <w:spacing w:before="120" w:after="0" w:line="240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</w:p>
    <w:p w:rsidR="0064487B" w:rsidRPr="0085257A" w:rsidRDefault="00F36A7C">
      <w:pPr>
        <w:pStyle w:val="Standard"/>
        <w:spacing w:before="120" w:after="0" w:line="240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85257A">
        <w:rPr>
          <w:rFonts w:ascii="Lato" w:hAnsi="Lato"/>
          <w:bCs/>
          <w:color w:val="000000" w:themeColor="text1"/>
          <w:sz w:val="24"/>
          <w:szCs w:val="24"/>
        </w:rPr>
        <w:t>Szczegółowe informacje można uzyskać w Dziale Egzekucji Administracyjnej:</w:t>
      </w:r>
    </w:p>
    <w:p w:rsidR="0064487B" w:rsidRPr="0085257A" w:rsidRDefault="0064487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color w:val="000000" w:themeColor="text1"/>
          <w:sz w:val="24"/>
          <w:szCs w:val="24"/>
        </w:rPr>
      </w:pPr>
    </w:p>
    <w:p w:rsidR="0064487B" w:rsidRPr="0085257A" w:rsidRDefault="00F36A7C">
      <w:pPr>
        <w:pStyle w:val="TekstpismaKAS"/>
        <w:spacing w:before="0"/>
        <w:rPr>
          <w:rFonts w:ascii="Lato" w:hAnsi="Lato"/>
          <w:color w:val="000000" w:themeColor="text1"/>
        </w:rPr>
      </w:pPr>
      <w:r w:rsidRPr="0085257A">
        <w:rPr>
          <w:noProof/>
          <w:color w:val="000000" w:themeColor="text1"/>
          <w:lang w:eastAsia="pl-PL"/>
        </w:rPr>
        <w:drawing>
          <wp:anchor distT="0" distB="635" distL="114300" distR="114935" simplePos="0" relativeHeight="9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257A">
        <w:rPr>
          <w:rFonts w:ascii="Lato" w:hAnsi="Lato"/>
          <w:color w:val="000000" w:themeColor="text1"/>
        </w:rPr>
        <w:t xml:space="preserve">telefonicznie – pod numerem </w:t>
      </w:r>
      <w:r w:rsidRPr="0085257A">
        <w:rPr>
          <w:rFonts w:ascii="Lato" w:hAnsi="Lato"/>
          <w:bCs/>
          <w:color w:val="000000" w:themeColor="text1"/>
        </w:rPr>
        <w:t xml:space="preserve">telefonu: </w:t>
      </w:r>
      <w:r w:rsidRPr="0085257A">
        <w:rPr>
          <w:rFonts w:ascii="Lato" w:hAnsi="Lato"/>
          <w:bCs/>
          <w:color w:val="000000" w:themeColor="text1"/>
        </w:rPr>
        <w:br/>
        <w:t>58</w:t>
      </w:r>
      <w:r w:rsidRPr="0085257A">
        <w:rPr>
          <w:rFonts w:ascii="Lato" w:hAnsi="Lato"/>
          <w:color w:val="000000" w:themeColor="text1"/>
        </w:rPr>
        <w:t xml:space="preserve"> 76 54 866,</w:t>
      </w:r>
    </w:p>
    <w:p w:rsidR="0064487B" w:rsidRPr="0085257A" w:rsidRDefault="0064487B">
      <w:pPr>
        <w:pStyle w:val="TekstpismaKAS"/>
        <w:rPr>
          <w:rFonts w:ascii="Lato" w:hAnsi="Lato"/>
          <w:color w:val="000000" w:themeColor="text1"/>
          <w:lang w:eastAsia="pl-PL"/>
        </w:rPr>
      </w:pPr>
    </w:p>
    <w:p w:rsidR="0064487B" w:rsidRPr="0085257A" w:rsidRDefault="00F36A7C">
      <w:pPr>
        <w:pStyle w:val="TekstpismaKAS"/>
        <w:rPr>
          <w:rFonts w:ascii="Lato" w:hAnsi="Lato"/>
          <w:color w:val="000000" w:themeColor="text1"/>
        </w:rPr>
      </w:pPr>
      <w:r w:rsidRPr="0085257A">
        <w:rPr>
          <w:noProof/>
          <w:color w:val="000000" w:themeColor="text1"/>
          <w:lang w:eastAsia="pl-PL"/>
        </w:rPr>
        <w:drawing>
          <wp:anchor distT="0" distB="0" distL="114300" distR="114300" simplePos="0" relativeHeight="10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257A">
        <w:rPr>
          <w:rFonts w:ascii="Lato" w:hAnsi="Lato"/>
          <w:color w:val="000000" w:themeColor="text1"/>
        </w:rPr>
        <w:t>elektronicznie – napisz na adres:</w:t>
      </w:r>
    </w:p>
    <w:p w:rsidR="0064487B" w:rsidRPr="0085257A" w:rsidRDefault="00F36A7C">
      <w:pPr>
        <w:pStyle w:val="TekstpismaKAS"/>
        <w:rPr>
          <w:color w:val="000000" w:themeColor="text1"/>
        </w:rPr>
      </w:pPr>
      <w:r w:rsidRPr="0085257A">
        <w:rPr>
          <w:rFonts w:ascii="Lato" w:hAnsi="Lato"/>
          <w:color w:val="000000" w:themeColor="text1"/>
        </w:rPr>
        <w:t>2us.gdynia@mf.gov.pl</w:t>
      </w:r>
    </w:p>
    <w:p w:rsidR="0064487B" w:rsidRPr="0085257A" w:rsidRDefault="00F36A7C">
      <w:pPr>
        <w:pStyle w:val="Standard"/>
        <w:spacing w:before="120" w:after="0" w:line="240" w:lineRule="auto"/>
        <w:rPr>
          <w:rFonts w:ascii="Lato" w:hAnsi="Lato"/>
          <w:color w:val="000000" w:themeColor="text1"/>
          <w:sz w:val="24"/>
          <w:szCs w:val="24"/>
        </w:rPr>
      </w:pPr>
      <w:r w:rsidRPr="0085257A">
        <w:rPr>
          <w:rFonts w:ascii="Lato" w:hAnsi="Lato"/>
          <w:bCs/>
          <w:color w:val="000000" w:themeColor="text1"/>
          <w:sz w:val="24"/>
          <w:szCs w:val="24"/>
        </w:rPr>
        <w:t>oraz na stronie:</w:t>
      </w:r>
      <w:r w:rsidRPr="0085257A">
        <w:rPr>
          <w:rFonts w:ascii="Lato" w:hAnsi="Lato"/>
          <w:color w:val="000000" w:themeColor="text1"/>
          <w:sz w:val="24"/>
          <w:szCs w:val="24"/>
        </w:rPr>
        <w:t xml:space="preserve"> </w:t>
      </w:r>
      <w:hyperlink r:id="rId10">
        <w:r w:rsidRPr="0085257A">
          <w:rPr>
            <w:rStyle w:val="Hipercze"/>
            <w:rFonts w:ascii="Lato" w:hAnsi="Lato"/>
            <w:bCs/>
            <w:color w:val="000000" w:themeColor="text1"/>
            <w:sz w:val="24"/>
            <w:szCs w:val="24"/>
          </w:rPr>
          <w:t>https://www.pomorskie.kas.gov.pl/drugi-urzad-skarbowy</w:t>
        </w:r>
      </w:hyperlink>
      <w:r w:rsidRPr="0085257A">
        <w:rPr>
          <w:rFonts w:ascii="Lato" w:hAnsi="Lato"/>
          <w:bCs/>
          <w:color w:val="000000" w:themeColor="text1"/>
          <w:sz w:val="24"/>
          <w:szCs w:val="24"/>
          <w:u w:val="single"/>
        </w:rPr>
        <w:t>-w-gdyni,</w:t>
      </w:r>
      <w:r w:rsidRPr="0085257A">
        <w:rPr>
          <w:rFonts w:ascii="Lato" w:hAnsi="Lato"/>
          <w:bCs/>
          <w:color w:val="000000" w:themeColor="text1"/>
          <w:sz w:val="24"/>
          <w:szCs w:val="24"/>
        </w:rPr>
        <w:br/>
        <w:t>w zakładce ogłoszenia - obwieszczenia o licytacji.</w:t>
      </w:r>
    </w:p>
    <w:p w:rsidR="0064487B" w:rsidRPr="0085257A" w:rsidRDefault="00F36A7C">
      <w:pPr>
        <w:pStyle w:val="rdtytuKAS"/>
        <w:rPr>
          <w:rFonts w:ascii="Lato" w:hAnsi="Lato"/>
          <w:color w:val="000000" w:themeColor="text1"/>
          <w:lang w:eastAsia="pl-PL"/>
        </w:rPr>
      </w:pPr>
      <w:r w:rsidRPr="0085257A">
        <w:rPr>
          <w:rFonts w:ascii="Lato" w:hAnsi="Lato"/>
          <w:color w:val="000000" w:themeColor="text1"/>
          <w:lang w:eastAsia="pl-PL"/>
        </w:rPr>
        <w:t xml:space="preserve">Przepisy prawa: </w:t>
      </w:r>
    </w:p>
    <w:p w:rsidR="0064487B" w:rsidRPr="0085257A" w:rsidRDefault="00F36A7C">
      <w:pPr>
        <w:pStyle w:val="TekstpismaKAS"/>
        <w:jc w:val="both"/>
        <w:rPr>
          <w:rFonts w:ascii="Lato" w:hAnsi="Lato"/>
          <w:color w:val="000000" w:themeColor="text1"/>
          <w:lang w:eastAsia="pl-PL"/>
        </w:rPr>
      </w:pPr>
      <w:r w:rsidRPr="0085257A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0" distR="0" simplePos="0" relativeHeight="11" behindDoc="1" locked="0" layoutInCell="0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2460625</wp:posOffset>
                </wp:positionV>
                <wp:extent cx="4885690" cy="388620"/>
                <wp:effectExtent l="0" t="0" r="0" b="0"/>
                <wp:wrapNone/>
                <wp:docPr id="5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5560" cy="38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487B" w:rsidRDefault="00F36A7C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2"/>
                              </w:rPr>
                              <w:t xml:space="preserve">RODO – klauzulę informacyjną dot. Przetwarzania danych osobowych znajdziecie Państwo na stronie Biuletynu Informacji Publicznej </w:t>
                            </w:r>
                            <w:hyperlink r:id="rId11">
                              <w:r>
                                <w:rPr>
                                  <w:rStyle w:val="Hipercze"/>
                                  <w:rFonts w:ascii="Arial" w:hAnsi="Arial" w:cs="Arial"/>
                                  <w:sz w:val="16"/>
                                  <w:szCs w:val="12"/>
                                </w:rPr>
                                <w:t>www.pomorskie.kas.gov.pl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2"/>
                              </w:rPr>
                              <w:t xml:space="preserve"> w zakładce Organizacja – Ochrona Danych Osobowych oraz w siedzibach organów na tablicach informacyjnych.</w:t>
                            </w:r>
                          </w:p>
                        </w:txbxContent>
                      </wps:txbx>
                      <wps:bodyPr lIns="720" tIns="720" rIns="720" bIns="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6" path="m0,0l-2147483645,0l-2147483645,-2147483646l0,-2147483646xe" fillcolor="white" stroked="f" o:allowincell="f" style="position:absolute;margin-left:36.7pt;margin-top:193.75pt;width:384.65pt;height:30.5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before="0" w:after="16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919195"/>
                          <w:sz w:val="16"/>
                          <w:szCs w:val="12"/>
                        </w:rPr>
                        <w:t xml:space="preserve">RODO – klauzulę informacyjną dot. Przetwarzania danych osobowych znajdziecie Państwo na stronie Biuletynu Informacji Publicznej </w:t>
                      </w:r>
                      <w:hyperlink r:id="rId12">
                        <w:r>
                          <w:rPr>
                            <w:rStyle w:val="Czeinternetowe"/>
                            <w:rFonts w:cs="Arial" w:ascii="Arial" w:hAnsi="Arial"/>
                            <w:sz w:val="16"/>
                            <w:szCs w:val="12"/>
                          </w:rPr>
                          <w:t>www.pomorskie.kas.gov.pl</w:t>
                        </w:r>
                      </w:hyperlink>
                      <w:r>
                        <w:rPr>
                          <w:rFonts w:cs="Arial" w:ascii="Arial" w:hAnsi="Arial"/>
                          <w:color w:val="919195"/>
                          <w:sz w:val="16"/>
                          <w:szCs w:val="12"/>
                        </w:rPr>
                        <w:t xml:space="preserve"> w zakładce Organizacja – Ochrona Danych Osobowych oraz w siedzibach organów na tablicach informacyjnych.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85257A">
        <w:rPr>
          <w:rFonts w:ascii="Lato" w:hAnsi="Lato"/>
          <w:bCs/>
          <w:color w:val="000000" w:themeColor="text1"/>
          <w:lang w:eastAsia="pl-PL"/>
        </w:rPr>
        <w:t xml:space="preserve">Art. 110w §1 i § 3, art. 110z, art. 111, art. 111d ustawy z dnia 17 czerwca 1966 r. </w:t>
      </w:r>
      <w:r w:rsidRPr="0085257A">
        <w:rPr>
          <w:rFonts w:ascii="Lato" w:hAnsi="Lato"/>
          <w:bCs/>
          <w:color w:val="000000" w:themeColor="text1"/>
          <w:lang w:eastAsia="pl-PL"/>
        </w:rPr>
        <w:br/>
        <w:t xml:space="preserve">o postępowaniu egzekucyjnym w administracji (Dz.U. z 2023 r. poz. 2505, z </w:t>
      </w:r>
      <w:proofErr w:type="spellStart"/>
      <w:r w:rsidRPr="0085257A">
        <w:rPr>
          <w:rFonts w:ascii="Lato" w:hAnsi="Lato"/>
          <w:bCs/>
          <w:color w:val="000000" w:themeColor="text1"/>
          <w:lang w:eastAsia="pl-PL"/>
        </w:rPr>
        <w:t>późn</w:t>
      </w:r>
      <w:proofErr w:type="spellEnd"/>
      <w:r w:rsidRPr="0085257A">
        <w:rPr>
          <w:rFonts w:ascii="Lato" w:hAnsi="Lato"/>
          <w:bCs/>
          <w:color w:val="000000" w:themeColor="text1"/>
          <w:lang w:eastAsia="pl-PL"/>
        </w:rPr>
        <w:t xml:space="preserve">. </w:t>
      </w:r>
      <w:proofErr w:type="spellStart"/>
      <w:r w:rsidRPr="0085257A">
        <w:rPr>
          <w:rFonts w:ascii="Lato" w:hAnsi="Lato"/>
          <w:bCs/>
          <w:color w:val="000000" w:themeColor="text1"/>
          <w:lang w:eastAsia="pl-PL"/>
        </w:rPr>
        <w:t>zm</w:t>
      </w:r>
      <w:proofErr w:type="spellEnd"/>
      <w:r w:rsidRPr="0085257A">
        <w:rPr>
          <w:rFonts w:ascii="Lato" w:hAnsi="Lato"/>
          <w:bCs/>
          <w:color w:val="000000" w:themeColor="text1"/>
          <w:lang w:eastAsia="pl-PL"/>
        </w:rPr>
        <w:t>)</w:t>
      </w:r>
    </w:p>
    <w:p w:rsidR="0064487B" w:rsidRPr="0085257A" w:rsidRDefault="0064487B">
      <w:pPr>
        <w:pStyle w:val="TekstpismaKAS"/>
        <w:jc w:val="both"/>
        <w:rPr>
          <w:rFonts w:ascii="Lato" w:hAnsi="Lato"/>
          <w:color w:val="000000" w:themeColor="text1"/>
          <w:lang w:eastAsia="pl-PL"/>
        </w:rPr>
      </w:pPr>
    </w:p>
    <w:p w:rsidR="0064487B" w:rsidRPr="0085257A" w:rsidRDefault="00F36A7C">
      <w:pPr>
        <w:pStyle w:val="TekstpismaKAS"/>
        <w:ind w:left="4819"/>
        <w:jc w:val="center"/>
        <w:rPr>
          <w:color w:val="000000" w:themeColor="text1"/>
        </w:rPr>
      </w:pPr>
      <w:r w:rsidRPr="0085257A">
        <w:rPr>
          <w:rFonts w:ascii="Lato" w:hAnsi="Lato"/>
          <w:bCs/>
          <w:color w:val="000000" w:themeColor="text1"/>
          <w:lang w:eastAsia="pl-PL"/>
        </w:rPr>
        <w:t xml:space="preserve">Naczelnik </w:t>
      </w:r>
    </w:p>
    <w:p w:rsidR="0064487B" w:rsidRPr="0085257A" w:rsidRDefault="00F36A7C">
      <w:pPr>
        <w:pStyle w:val="TekstpismaKAS"/>
        <w:ind w:left="4819"/>
        <w:jc w:val="center"/>
        <w:rPr>
          <w:color w:val="000000" w:themeColor="text1"/>
        </w:rPr>
      </w:pPr>
      <w:r w:rsidRPr="0085257A">
        <w:rPr>
          <w:rFonts w:ascii="Lato" w:hAnsi="Lato"/>
          <w:bCs/>
          <w:color w:val="000000" w:themeColor="text1"/>
          <w:lang w:eastAsia="pl-PL"/>
        </w:rPr>
        <w:t>Drugiego Urzędu Skarbowego w Gdyni</w:t>
      </w:r>
    </w:p>
    <w:p w:rsidR="0064487B" w:rsidRPr="0085257A" w:rsidRDefault="00F36A7C">
      <w:pPr>
        <w:pStyle w:val="TekstpismaKAS"/>
        <w:ind w:left="4819"/>
        <w:jc w:val="center"/>
        <w:rPr>
          <w:color w:val="000000" w:themeColor="text1"/>
        </w:rPr>
      </w:pPr>
      <w:r w:rsidRPr="0085257A">
        <w:rPr>
          <w:rFonts w:ascii="Lato" w:hAnsi="Lato"/>
          <w:bCs/>
          <w:color w:val="000000" w:themeColor="text1"/>
          <w:lang w:eastAsia="pl-PL"/>
        </w:rPr>
        <w:t>Ewa Jankowska</w:t>
      </w:r>
    </w:p>
    <w:p w:rsidR="0064487B" w:rsidRPr="0085257A" w:rsidRDefault="00F36A7C">
      <w:pPr>
        <w:pStyle w:val="TekstpismaKAS"/>
        <w:ind w:left="4819"/>
        <w:jc w:val="center"/>
        <w:rPr>
          <w:iCs/>
          <w:color w:val="000000" w:themeColor="text1"/>
          <w:sz w:val="20"/>
          <w:szCs w:val="20"/>
        </w:rPr>
      </w:pPr>
      <w:r w:rsidRPr="0085257A">
        <w:rPr>
          <w:rFonts w:ascii="Lato" w:hAnsi="Lato"/>
          <w:bCs/>
          <w:iCs/>
          <w:color w:val="000000" w:themeColor="text1"/>
          <w:sz w:val="20"/>
          <w:szCs w:val="20"/>
          <w:lang w:eastAsia="pl-PL"/>
        </w:rPr>
        <w:t>Podpisano kwalifikowanym podpisem elektronicznym</w:t>
      </w:r>
    </w:p>
    <w:sectPr w:rsidR="0064487B" w:rsidRPr="0085257A"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9A0" w:rsidRDefault="00B879A0">
      <w:pPr>
        <w:spacing w:after="0" w:line="240" w:lineRule="auto"/>
      </w:pPr>
      <w:r>
        <w:separator/>
      </w:r>
    </w:p>
  </w:endnote>
  <w:endnote w:type="continuationSeparator" w:id="0">
    <w:p w:rsidR="00B879A0" w:rsidRDefault="00B8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87B" w:rsidRDefault="00F36A7C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4BE9FF5F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135" cy="30607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4487B" w:rsidRDefault="00F36A7C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4752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A14752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64487B" w:rsidRDefault="0064487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E9FF5F" id="Pole tekstowe 2" o:spid="_x0000_s1027" style="position:absolute;margin-left:425.25pt;margin-top:0;width:85.05pt;height:24.1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" o:allowincell="f" filled="f" stroked="f">
              <v:textbox>
                <w:txbxContent>
                  <w:p w:rsidR="0064487B" w:rsidRDefault="00F36A7C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A14752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A14752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64487B" w:rsidRDefault="0064487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87B" w:rsidRDefault="00F36A7C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0" allowOverlap="1" wp14:anchorId="17C6D12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4487B" w:rsidRDefault="00F36A7C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4752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A14752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64487B" w:rsidRDefault="0064487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6D123" id="_x0000_s1028" style="position:absolute;left:0;text-align:left;margin-left:453.6pt;margin-top:0;width:56.7pt;height:24.1pt;z-index:-503316476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" o:allowincell="f" filled="f" stroked="f">
              <v:textbox>
                <w:txbxContent>
                  <w:p w:rsidR="0064487B" w:rsidRDefault="00F36A7C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A14752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A14752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64487B" w:rsidRDefault="0064487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11" name="Obraz 19" descr="Logotyp KAS&#10;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AS&#10;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2us.gdynia@mf.gov.pl 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</w:t>
    </w:r>
    <w:proofErr w:type="spellStart"/>
    <w:r>
      <w:rPr>
        <w:rFonts w:cs="Calibri"/>
        <w:lang w:val="en-US"/>
      </w:rPr>
      <w:t>ePUAP</w:t>
    </w:r>
    <w:proofErr w:type="spellEnd"/>
    <w:r>
      <w:rPr>
        <w:rFonts w:cs="Calibri"/>
        <w:lang w:val="en-US"/>
      </w:rPr>
      <w:t xml:space="preserve"> </w:t>
    </w:r>
    <w:r>
      <w:rPr>
        <w:rFonts w:cs="Calibri"/>
        <w:color w:val="000000"/>
        <w:lang w:val="en-US"/>
      </w:rPr>
      <w:t>/vsvw2p657t/</w:t>
    </w:r>
    <w:proofErr w:type="spellStart"/>
    <w:r>
      <w:rPr>
        <w:rFonts w:cs="Calibri"/>
        <w:color w:val="000000"/>
        <w:lang w:val="en-US"/>
      </w:rPr>
      <w:t>SkrytkaESP</w:t>
    </w:r>
    <w:proofErr w:type="spellEnd"/>
    <w:r>
      <w:rPr>
        <w:rFonts w:cs="Calibri"/>
        <w:lang w:val="en-US"/>
      </w:rPr>
      <w:t xml:space="preserve">  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http://www.pomorskie.kas.gov.pl/drugi-urzad-skarbowy-w-gdyni</w:t>
    </w:r>
  </w:p>
  <w:p w:rsidR="0064487B" w:rsidRDefault="00F36A7C">
    <w:pPr>
      <w:pStyle w:val="StopkaKAS"/>
      <w:rPr>
        <w:rFonts w:cs="Calibri"/>
      </w:rPr>
    </w:pPr>
    <w:r>
      <w:rPr>
        <w:rFonts w:cs="Calibri"/>
      </w:rPr>
      <w:t>Drugi Urząd Skarbowy w Gdyni, ul. Hutnicza 25, 81-061 Gdynia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9A0" w:rsidRDefault="00B879A0">
      <w:pPr>
        <w:spacing w:after="0" w:line="240" w:lineRule="auto"/>
      </w:pPr>
      <w:r>
        <w:separator/>
      </w:r>
    </w:p>
  </w:footnote>
  <w:footnote w:type="continuationSeparator" w:id="0">
    <w:p w:rsidR="00B879A0" w:rsidRDefault="00B8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87B" w:rsidRDefault="0064487B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10C5"/>
    <w:multiLevelType w:val="multilevel"/>
    <w:tmpl w:val="F0CC69F8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FF19AC"/>
    <w:multiLevelType w:val="multilevel"/>
    <w:tmpl w:val="2F6EE0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A027A1"/>
    <w:multiLevelType w:val="multilevel"/>
    <w:tmpl w:val="E5360C32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7B"/>
    <w:rsid w:val="00362B8F"/>
    <w:rsid w:val="0064487B"/>
    <w:rsid w:val="0085257A"/>
    <w:rsid w:val="00A14752"/>
    <w:rsid w:val="00B879A0"/>
    <w:rsid w:val="00BE3AEB"/>
    <w:rsid w:val="00F3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80185-77F5-42AB-90D0-64BC0F11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link w:val="rdtytuKAS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qFormat/>
    <w:rsid w:val="00D01ABB"/>
    <w:rPr>
      <w:color w:val="0563C1"/>
      <w:u w:val="single"/>
    </w:rPr>
  </w:style>
  <w:style w:type="character" w:customStyle="1" w:styleId="Teksttreci">
    <w:name w:val="Tekst treści_"/>
    <w:basedOn w:val="Domylnaczcionkaakapitu"/>
    <w:qFormat/>
    <w:rPr>
      <w:rFonts w:ascii="Arial" w:hAnsi="Arial"/>
      <w:b w:val="0"/>
      <w:i w:val="0"/>
      <w:caps w:val="0"/>
      <w:smallCaps w:val="0"/>
      <w:strike w:val="0"/>
      <w:dstrike w:val="0"/>
      <w:sz w:val="17"/>
      <w:u w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link w:val="HTML-wstpniesformatowanyZnak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pomorskie.kas.gov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morskie.kas.gov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pomorskie.kas.gov.pl/drugi-urzad-skarbow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6</cp:revision>
  <cp:lastPrinted>2025-01-14T10:00:00Z</cp:lastPrinted>
  <dcterms:created xsi:type="dcterms:W3CDTF">2025-01-14T09:49:00Z</dcterms:created>
  <dcterms:modified xsi:type="dcterms:W3CDTF">2025-01-14T10:00:00Z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