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62" w:rsidRDefault="000E5802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313662" w:rsidRDefault="000E5802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313662" w:rsidRDefault="000E5802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pucku</w:t>
      </w:r>
    </w:p>
    <w:p w:rsidR="00313662" w:rsidRDefault="00313662">
      <w:pPr>
        <w:spacing w:after="0"/>
        <w:contextualSpacing/>
        <w:jc w:val="right"/>
        <w:rPr>
          <w:rFonts w:ascii="Lato" w:hAnsi="Lato"/>
        </w:rPr>
      </w:pPr>
    </w:p>
    <w:p w:rsidR="00313662" w:rsidRDefault="000E5802">
      <w:pPr>
        <w:spacing w:after="0"/>
        <w:contextualSpacing/>
        <w:jc w:val="right"/>
        <w:rPr>
          <w:rFonts w:ascii="Lato" w:hAnsi="Lato"/>
        </w:rPr>
      </w:pPr>
      <w:r>
        <w:rPr>
          <w:noProof/>
          <w:lang w:eastAsia="pl-PL"/>
        </w:rPr>
        <mc:AlternateContent>
          <mc:Choice Requires="wps">
            <w:drawing>
              <wp:anchor distT="81280" distB="0" distL="198120" distR="0" simplePos="0" relativeHeight="8" behindDoc="0" locked="0" layoutInCell="0" allowOverlap="0" wp14:anchorId="2AB8506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7705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72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9pt" to="454.05pt,2.9pt" ID="Łącznik prosty 2" stroked="t" o:allowincell="f" style="position:absolute;flip:y" wp14:anchorId="2AB8506D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</w:rPr>
        <w:t>Puck, 16 grudnia 2024 roku</w:t>
      </w:r>
    </w:p>
    <w:p w:rsidR="00313662" w:rsidRDefault="00313662">
      <w:pPr>
        <w:pStyle w:val="TytupismaKAS"/>
        <w:jc w:val="center"/>
        <w:rPr>
          <w:rFonts w:ascii="Lato" w:hAnsi="Lato"/>
          <w:color w:val="C00000"/>
        </w:rPr>
      </w:pPr>
    </w:p>
    <w:p w:rsidR="00313662" w:rsidRDefault="000E5802">
      <w:pPr>
        <w:pStyle w:val="TytupismaKAS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PIERWSZEJ LICYTACJI RUCHOMOŚCI</w:t>
      </w:r>
    </w:p>
    <w:p w:rsidR="00313662" w:rsidRDefault="000E5802">
      <w:pPr>
        <w:pStyle w:val="Standard"/>
        <w:spacing w:before="288" w:after="0" w:line="24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313662" w:rsidRDefault="000E5802">
      <w:pPr>
        <w:pStyle w:val="Standard"/>
        <w:spacing w:before="288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informuję o sprzedaży w drodze licytacji publicznej ruchomości należącej do Pana Grzegorza Dettlaff. </w:t>
      </w:r>
    </w:p>
    <w:p w:rsidR="00313662" w:rsidRDefault="000E5802">
      <w:pPr>
        <w:spacing w:before="240" w:after="240"/>
        <w:jc w:val="both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>17 stycz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nia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2025 rok, godz. 10:30</w:t>
      </w:r>
    </w:p>
    <w:p w:rsidR="00313662" w:rsidRDefault="000E5802">
      <w:pPr>
        <w:spacing w:before="240" w:after="240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 w:rsidR="00313662" w:rsidRDefault="000E5802">
      <w:pPr>
        <w:pStyle w:val="Nagwek2"/>
        <w:spacing w:line="240" w:lineRule="auto"/>
      </w:pPr>
      <w:r>
        <w:rPr>
          <w:rFonts w:ascii="Lato" w:hAnsi="Lato"/>
          <w:color w:val="C00000"/>
        </w:rPr>
        <w:t>Sprzedawane ruchomości</w:t>
      </w:r>
    </w:p>
    <w:tbl>
      <w:tblPr>
        <w:tblW w:w="74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4"/>
        <w:gridCol w:w="2661"/>
        <w:gridCol w:w="1476"/>
        <w:gridCol w:w="2724"/>
      </w:tblGrid>
      <w:tr w:rsidR="0031366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62" w:rsidRDefault="000E5802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2" w:rsidRDefault="000E5802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2" w:rsidRDefault="000E5802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2" w:rsidRDefault="000E5802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</w:tr>
      <w:tr w:rsidR="0031366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662" w:rsidRDefault="000E5802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2" w:rsidRDefault="000E5802">
            <w:pPr>
              <w:pStyle w:val="Standard"/>
              <w:widowControl w:val="0"/>
              <w:spacing w:before="113" w:after="0" w:line="240" w:lineRule="auto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 xml:space="preserve">Samochód osobowy Toyota Corolla (hatchback) rok produkcji 2004, nr rejestracyjny GPU19PU, data pierwszej rejestracji 19.01.2005 r. </w:t>
            </w:r>
          </w:p>
          <w:p w:rsidR="00313662" w:rsidRDefault="00313662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2" w:rsidRDefault="000E5802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9 000,00 zł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662" w:rsidRDefault="000E5802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6 750,00 zł</w:t>
            </w:r>
          </w:p>
        </w:tc>
      </w:tr>
    </w:tbl>
    <w:p w:rsidR="00313662" w:rsidRDefault="000E5802">
      <w:pPr>
        <w:pStyle w:val="rdtytuKAS"/>
        <w:ind w:left="-567" w:firstLine="567"/>
      </w:pPr>
      <w:r>
        <w:rPr>
          <w:rFonts w:ascii="Lato" w:hAnsi="Lato"/>
          <w:color w:val="C00000"/>
          <w:lang w:eastAsia="pl-PL"/>
        </w:rPr>
        <w:t>Wadium</w:t>
      </w:r>
      <w:r>
        <w:rPr>
          <w:rFonts w:ascii="Lato" w:hAnsi="Lato"/>
          <w:color w:val="FF0000"/>
          <w:lang w:eastAsia="pl-PL"/>
        </w:rPr>
        <w:t xml:space="preserve"> </w:t>
      </w:r>
    </w:p>
    <w:p w:rsidR="00313662" w:rsidRDefault="000E5802">
      <w:pPr>
        <w:pStyle w:val="Standard"/>
        <w:spacing w:after="0" w:line="276" w:lineRule="auto"/>
        <w:ind w:left="-567" w:firstLine="567"/>
        <w:jc w:val="both"/>
      </w:pPr>
      <w:r>
        <w:rPr>
          <w:rFonts w:ascii="Lato" w:hAnsi="Lato"/>
          <w:bCs/>
          <w:sz w:val="24"/>
          <w:szCs w:val="24"/>
        </w:rPr>
        <w:t xml:space="preserve">Z uwagi na wartość szacunkową pojazdu wpłata wadium nie jest wymagana. </w:t>
      </w:r>
    </w:p>
    <w:p w:rsidR="00313662" w:rsidRDefault="00313662">
      <w:pPr>
        <w:pStyle w:val="TekstpismaKAS"/>
        <w:jc w:val="both"/>
        <w:rPr>
          <w:rFonts w:ascii="Lato" w:hAnsi="Lato"/>
          <w:lang w:eastAsia="pl-PL"/>
        </w:rPr>
      </w:pPr>
    </w:p>
    <w:p w:rsidR="00313662" w:rsidRDefault="000E5802">
      <w:pPr>
        <w:pStyle w:val="Standard"/>
        <w:spacing w:before="120" w:after="0" w:line="240" w:lineRule="auto"/>
      </w:pPr>
      <w:r>
        <w:rPr>
          <w:rFonts w:ascii="Lato" w:hAnsi="Lato"/>
          <w:b/>
          <w:bCs/>
          <w:color w:val="C00000"/>
          <w:sz w:val="28"/>
          <w:szCs w:val="28"/>
        </w:rPr>
        <w:t xml:space="preserve">Termin i miejsce </w:t>
      </w:r>
      <w:r>
        <w:rPr>
          <w:rFonts w:ascii="Lato" w:hAnsi="Lato"/>
          <w:b/>
          <w:bCs/>
          <w:color w:val="C00000"/>
          <w:sz w:val="28"/>
          <w:szCs w:val="28"/>
        </w:rPr>
        <w:t>oglądania ruchomości</w:t>
      </w:r>
    </w:p>
    <w:p w:rsidR="00313662" w:rsidRDefault="000E5802">
      <w:pPr>
        <w:spacing w:before="240" w:after="240"/>
        <w:ind w:left="1418" w:hanging="1134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Ruchomości można oglądać 16 stycznia 2025 roku od godz. 10:00 do godz. 10:30 </w:t>
      </w:r>
    </w:p>
    <w:p w:rsidR="00313662" w:rsidRDefault="000E5802">
      <w:pPr>
        <w:spacing w:before="240" w:after="240"/>
        <w:ind w:left="1418" w:hanging="1134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pod adresem: </w:t>
      </w:r>
      <w:r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 w:rsidR="00313662" w:rsidRDefault="00313662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</w:p>
    <w:p w:rsidR="00313662" w:rsidRDefault="00313662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</w:p>
    <w:p w:rsidR="00313662" w:rsidRDefault="000E5802">
      <w:pPr>
        <w:pStyle w:val="Standard"/>
        <w:spacing w:before="120" w:after="0" w:line="240" w:lineRule="auto"/>
        <w:ind w:left="283"/>
        <w:jc w:val="both"/>
      </w:pPr>
      <w:r>
        <w:rPr>
          <w:rFonts w:ascii="Lato" w:hAnsi="Lato"/>
          <w:b/>
          <w:bCs/>
          <w:color w:val="C00000"/>
          <w:sz w:val="28"/>
          <w:szCs w:val="28"/>
        </w:rPr>
        <w:lastRenderedPageBreak/>
        <w:t>Pozostałe informacje</w:t>
      </w:r>
    </w:p>
    <w:p w:rsidR="00313662" w:rsidRDefault="000E5802">
      <w:pPr>
        <w:pStyle w:val="Standard"/>
        <w:spacing w:before="120" w:after="0" w:line="276" w:lineRule="auto"/>
        <w:ind w:firstLine="284"/>
        <w:jc w:val="both"/>
      </w:pPr>
      <w:r>
        <w:rPr>
          <w:rFonts w:ascii="Lato" w:hAnsi="Lato"/>
          <w:bCs/>
          <w:sz w:val="24"/>
          <w:szCs w:val="24"/>
        </w:rPr>
        <w:t xml:space="preserve">Sprzedaż </w:t>
      </w:r>
      <w:r>
        <w:rPr>
          <w:rFonts w:ascii="Lato" w:hAnsi="Lato"/>
          <w:bCs/>
          <w:iCs/>
          <w:sz w:val="24"/>
          <w:szCs w:val="24"/>
        </w:rPr>
        <w:t>nie jest</w:t>
      </w:r>
      <w:r>
        <w:rPr>
          <w:rFonts w:ascii="Lato" w:hAnsi="Lato"/>
          <w:bCs/>
          <w:sz w:val="24"/>
          <w:szCs w:val="24"/>
        </w:rPr>
        <w:t xml:space="preserve"> opodatkowana podatkiem od towarów i usług.</w:t>
      </w:r>
    </w:p>
    <w:p w:rsidR="00313662" w:rsidRDefault="000E5802">
      <w:pPr>
        <w:pStyle w:val="Standard"/>
        <w:spacing w:before="120" w:after="0" w:line="276" w:lineRule="auto"/>
        <w:ind w:left="284"/>
        <w:jc w:val="both"/>
      </w:pPr>
      <w:r>
        <w:rPr>
          <w:rFonts w:ascii="Lato" w:hAnsi="Lato"/>
          <w:bCs/>
          <w:sz w:val="24"/>
          <w:szCs w:val="24"/>
        </w:rPr>
        <w:t>Nabywca obowiązany jest niezwłocznie po udzieleniu mu przybicia uiścić przynajmniej cenę wywołania w gotówce</w:t>
      </w:r>
      <w:r>
        <w:rPr>
          <w:rFonts w:ascii="Lato" w:hAnsi="Lato"/>
          <w:bCs/>
          <w:i/>
          <w:sz w:val="24"/>
          <w:szCs w:val="24"/>
        </w:rPr>
        <w:t>.</w:t>
      </w:r>
      <w:r>
        <w:rPr>
          <w:rFonts w:ascii="Lato" w:hAnsi="Lato"/>
          <w:bCs/>
          <w:sz w:val="24"/>
          <w:szCs w:val="24"/>
        </w:rPr>
        <w:t xml:space="preserve"> Jeżeli ceny tej nabywca nie uiści, traci prawo wynikłe z przybicia i nie może uczestniczyć w licytacji</w:t>
      </w:r>
      <w:r>
        <w:rPr>
          <w:rFonts w:ascii="Lato" w:hAnsi="Lato"/>
          <w:bCs/>
          <w:sz w:val="24"/>
          <w:szCs w:val="24"/>
        </w:rPr>
        <w:t xml:space="preserve"> tej samej ruchomości. Pozostałą do zapłaty część wylicytowanej kwoty należy wpłacić na ww. rachunek bankowy organowi egzekucyjnemu niezwłocznie, nie później niż w dniu następującym po dniu licytacji.</w:t>
      </w:r>
    </w:p>
    <w:p w:rsidR="00313662" w:rsidRDefault="000E5802">
      <w:pPr>
        <w:pStyle w:val="Standard"/>
        <w:spacing w:before="120" w:after="0" w:line="240" w:lineRule="auto"/>
        <w:ind w:firstLine="284"/>
        <w:jc w:val="both"/>
      </w:pPr>
      <w:r>
        <w:rPr>
          <w:rFonts w:ascii="Lato" w:hAnsi="Lato"/>
          <w:bCs/>
          <w:sz w:val="24"/>
          <w:szCs w:val="24"/>
        </w:rPr>
        <w:t>Szczegółowe informacje można uzyskać w Referacie  Egzek</w:t>
      </w:r>
      <w:r>
        <w:rPr>
          <w:rFonts w:ascii="Lato" w:hAnsi="Lato"/>
          <w:bCs/>
          <w:sz w:val="24"/>
          <w:szCs w:val="24"/>
        </w:rPr>
        <w:t>ucji Administracyjnej:</w:t>
      </w:r>
    </w:p>
    <w:p w:rsidR="00313662" w:rsidRDefault="00313662">
      <w:pPr>
        <w:pStyle w:val="HTML-wstpniesformatowany"/>
        <w:tabs>
          <w:tab w:val="clear" w:pos="5496"/>
          <w:tab w:val="left" w:pos="5381"/>
        </w:tabs>
        <w:spacing w:after="0" w:line="240" w:lineRule="auto"/>
        <w:jc w:val="both"/>
        <w:textAlignment w:val="top"/>
        <w:rPr>
          <w:rFonts w:ascii="Lato" w:hAnsi="Lato"/>
          <w:sz w:val="24"/>
          <w:szCs w:val="24"/>
        </w:rPr>
      </w:pPr>
    </w:p>
    <w:p w:rsidR="00313662" w:rsidRDefault="000E5802">
      <w:pPr>
        <w:pStyle w:val="TekstpismaKAS"/>
        <w:spacing w:before="0"/>
        <w:jc w:val="both"/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 w:cs="Calibri"/>
          <w:bCs/>
        </w:rPr>
        <w:t>58 774 24 64, 58 774 24 65, 58 774 24 66</w:t>
      </w:r>
    </w:p>
    <w:p w:rsidR="00313662" w:rsidRDefault="00313662">
      <w:pPr>
        <w:pStyle w:val="TekstpismaKAS"/>
        <w:jc w:val="both"/>
        <w:rPr>
          <w:rFonts w:ascii="Lato" w:hAnsi="Lato"/>
          <w:color w:val="2F5496" w:themeColor="accent1" w:themeShade="BF"/>
          <w:lang w:eastAsia="pl-PL"/>
        </w:rPr>
      </w:pPr>
    </w:p>
    <w:p w:rsidR="00313662" w:rsidRDefault="000E5802">
      <w:pPr>
        <w:pStyle w:val="TekstpismaKAS"/>
        <w:jc w:val="both"/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313662" w:rsidRDefault="000E5802">
      <w:pPr>
        <w:pStyle w:val="TekstpismaKAS"/>
        <w:jc w:val="both"/>
      </w:pPr>
      <w:r>
        <w:rPr>
          <w:rFonts w:ascii="Lato" w:hAnsi="Lato"/>
        </w:rPr>
        <w:t>pawel.hewelt@mf.gov.pl</w:t>
      </w:r>
    </w:p>
    <w:p w:rsidR="00313662" w:rsidRDefault="000E5802">
      <w:pPr>
        <w:pStyle w:val="Standard"/>
        <w:spacing w:before="120" w:after="0" w:line="240" w:lineRule="auto"/>
        <w:ind w:left="284"/>
        <w:jc w:val="both"/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0">
        <w:r>
          <w:rPr>
            <w:rStyle w:val="czeinternetowe"/>
            <w:rFonts w:ascii="Lato" w:hAnsi="Lato"/>
            <w:bCs/>
            <w:color w:val="auto"/>
            <w:sz w:val="24"/>
            <w:szCs w:val="24"/>
          </w:rPr>
          <w:t>https://</w:t>
        </w:r>
      </w:hyperlink>
      <w:r>
        <w:rPr>
          <w:rStyle w:val="czeinternetowe"/>
          <w:rFonts w:ascii="Lato" w:hAnsi="Lato" w:cs="Calibri"/>
          <w:bCs/>
          <w:color w:val="auto"/>
          <w:sz w:val="24"/>
          <w:szCs w:val="24"/>
          <w:lang w:val="en-US"/>
        </w:rPr>
        <w:t>www.pomorskie.kas.gov.pl/urzad-skarbowy-w-pucku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:rsidR="00313662" w:rsidRDefault="000E5802">
      <w:pPr>
        <w:pStyle w:val="rdtytuKAS"/>
        <w:ind w:firstLine="284"/>
        <w:jc w:val="both"/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:rsidR="00313662" w:rsidRDefault="000E5802">
      <w:pPr>
        <w:pStyle w:val="TekstpismaKAS"/>
        <w:ind w:left="284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Art. 105 – art. 107 ustawy z dnia 17 czerwca 1966 r. o postępowaniu egzekucyjnym w administracji (Dz.U. z 2023 r. poz. 2505 ze zm.).</w:t>
      </w:r>
    </w:p>
    <w:sectPr w:rsidR="00313662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02" w:rsidRDefault="000E5802">
      <w:pPr>
        <w:spacing w:after="0" w:line="240" w:lineRule="auto"/>
      </w:pPr>
      <w:r>
        <w:separator/>
      </w:r>
    </w:p>
  </w:endnote>
  <w:endnote w:type="continuationSeparator" w:id="0">
    <w:p w:rsidR="000E5802" w:rsidRDefault="000E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62" w:rsidRDefault="000E5802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54FFD783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7755" cy="31369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72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13662" w:rsidRDefault="000E580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3244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973244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313662" w:rsidRDefault="00313662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FFD783" id="Pole tekstowe 2" o:spid="_x0000_s1026" style="position:absolute;margin-left:425.25pt;margin-top:0;width:85.65pt;height:24.7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" o:allowincell="f" filled="f" stroked="f">
              <v:textbox>
                <w:txbxContent>
                  <w:p w:rsidR="00313662" w:rsidRDefault="000E580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973244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973244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313662" w:rsidRDefault="00313662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62" w:rsidRDefault="000E580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5053A54C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7710" cy="31369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13662" w:rsidRDefault="000E580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3244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973244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313662" w:rsidRDefault="00313662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53A54C" id="_x0000_s1027" style="position:absolute;left:0;text-align:left;margin-left:453.6pt;margin-top:0;width:57.3pt;height:24.7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" o:allowincell="f" filled="f" stroked="f">
              <v:textbox>
                <w:txbxContent>
                  <w:p w:rsidR="00313662" w:rsidRDefault="000E580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973244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973244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313662" w:rsidRDefault="00313662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us.puck@mf.gov.pl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ePUAP: </w:t>
    </w:r>
    <w:r>
      <w:rPr>
        <w:rFonts w:cstheme="minorHAnsi"/>
        <w:lang w:val="en-US"/>
      </w:rPr>
      <w:t>/4924iupogq/SkrytkaESP ●</w:t>
    </w:r>
    <w:r>
      <w:rPr>
        <w:rFonts w:cs="Calibri"/>
        <w:lang w:val="en-US"/>
      </w:rPr>
      <w:t xml:space="preserve"> http://www.pomorskie.kas.gov.pl/urzad-skarbowy-w-pucku</w:t>
    </w:r>
  </w:p>
  <w:p w:rsidR="00313662" w:rsidRDefault="000E5802">
    <w:pPr>
      <w:pStyle w:val="StopkaKAS"/>
      <w:rPr>
        <w:rFonts w:cs="Calibri"/>
      </w:rPr>
    </w:pPr>
    <w:r>
      <w:rPr>
        <w:rFonts w:cs="Calibri"/>
      </w:rPr>
      <w:t>Urząd Skarbowy w Pucku,</w:t>
    </w:r>
    <w:r>
      <w:rPr>
        <w:rFonts w:cs="Calibri"/>
      </w:rPr>
      <w:t xml:space="preserve"> ul. Kmdr. E. Szystowskiego 18, 84-100 Puck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02" w:rsidRDefault="000E5802">
      <w:pPr>
        <w:spacing w:after="0" w:line="240" w:lineRule="auto"/>
      </w:pPr>
      <w:r>
        <w:separator/>
      </w:r>
    </w:p>
  </w:footnote>
  <w:footnote w:type="continuationSeparator" w:id="0">
    <w:p w:rsidR="000E5802" w:rsidRDefault="000E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62" w:rsidRDefault="00313662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4635"/>
    <w:multiLevelType w:val="multilevel"/>
    <w:tmpl w:val="26968A62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CB168C"/>
    <w:multiLevelType w:val="multilevel"/>
    <w:tmpl w:val="45C03FA4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21F191C"/>
    <w:multiLevelType w:val="multilevel"/>
    <w:tmpl w:val="15D036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62"/>
    <w:rsid w:val="000E5802"/>
    <w:rsid w:val="00313662"/>
    <w:rsid w:val="009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04E6D-5EFA-49FB-89C3-5EC3DAD0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Domylnaczcionkaakapitu"/>
    <w:qFormat/>
    <w:rsid w:val="00F96E8A"/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xxx.kas.gov.pl/urzad-skarbowy-x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2024-11-19T14:21:00Z</cp:lastPrinted>
  <dcterms:created xsi:type="dcterms:W3CDTF">2024-12-16T12:01:00Z</dcterms:created>
  <dcterms:modified xsi:type="dcterms:W3CDTF">2024-12-16T12:01:00Z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