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7DA1D" w14:textId="77777777" w:rsidR="004A239F" w:rsidRPr="004D58F0" w:rsidRDefault="004A239F" w:rsidP="00443E25">
      <w:pPr>
        <w:pStyle w:val="Standard"/>
        <w:rPr>
          <w:rFonts w:ascii="Lato" w:hAnsi="Lato"/>
          <w:b/>
          <w:bCs/>
          <w:sz w:val="28"/>
          <w:szCs w:val="28"/>
        </w:rPr>
      </w:pPr>
      <w:bookmarkStart w:id="0" w:name="_GoBack"/>
      <w:bookmarkEnd w:id="0"/>
      <w:r w:rsidRPr="004D58F0">
        <w:rPr>
          <w:rFonts w:ascii="Lato" w:hAnsi="Lato"/>
          <w:b/>
          <w:bCs/>
          <w:sz w:val="28"/>
          <w:szCs w:val="28"/>
        </w:rPr>
        <w:t>OBWIESZCZENIE O TRZECIEJ LICYTACJI NIERUCHOMOŚCI</w:t>
      </w:r>
    </w:p>
    <w:p w14:paraId="5D5F2B18" w14:textId="77777777" w:rsidR="00443E25" w:rsidRPr="00443E25" w:rsidRDefault="00443E25" w:rsidP="00443E25">
      <w:pPr>
        <w:pStyle w:val="Standard"/>
        <w:rPr>
          <w:rFonts w:ascii="Lato" w:hAnsi="Lato"/>
          <w:bCs/>
          <w:sz w:val="24"/>
          <w:szCs w:val="24"/>
        </w:rPr>
      </w:pPr>
    </w:p>
    <w:p w14:paraId="6DE75815" w14:textId="5624D07D" w:rsidR="004A239F" w:rsidRPr="00443E25" w:rsidRDefault="004A239F" w:rsidP="00443E25">
      <w:pPr>
        <w:pStyle w:val="Standard"/>
        <w:rPr>
          <w:rFonts w:ascii="Lato" w:hAnsi="Lato"/>
          <w:bCs/>
          <w:sz w:val="24"/>
          <w:szCs w:val="24"/>
        </w:rPr>
      </w:pPr>
      <w:r w:rsidRPr="00443E25">
        <w:rPr>
          <w:rFonts w:ascii="Lato" w:hAnsi="Lato"/>
          <w:bCs/>
          <w:sz w:val="24"/>
          <w:szCs w:val="24"/>
        </w:rPr>
        <w:t>Szanowni Państwo,</w:t>
      </w:r>
    </w:p>
    <w:p w14:paraId="5F2B1DC1" w14:textId="77777777" w:rsidR="004A239F" w:rsidRPr="00443E25" w:rsidRDefault="004A239F" w:rsidP="00443E25">
      <w:pPr>
        <w:pStyle w:val="Standard"/>
        <w:rPr>
          <w:rFonts w:ascii="Lato" w:hAnsi="Lato"/>
          <w:bCs/>
          <w:sz w:val="24"/>
          <w:szCs w:val="24"/>
        </w:rPr>
      </w:pPr>
      <w:r w:rsidRPr="00443E25">
        <w:rPr>
          <w:rFonts w:ascii="Lato" w:hAnsi="Lato"/>
          <w:bCs/>
          <w:sz w:val="24"/>
          <w:szCs w:val="24"/>
        </w:rPr>
        <w:t xml:space="preserve">informuję o sprzedaży w drodze III licytacji publicznej nieruchomości, tj.: </w:t>
      </w:r>
    </w:p>
    <w:p w14:paraId="14216655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  <w:lang w:val="fr-FR"/>
        </w:rPr>
      </w:pPr>
      <w:r w:rsidRPr="00443E25">
        <w:rPr>
          <w:rFonts w:ascii="Lato" w:hAnsi="Lato"/>
          <w:sz w:val="24"/>
          <w:szCs w:val="24"/>
        </w:rPr>
        <w:t>gruntu oddanego w użytkowanie wieczyste do dnia 05.12.2089r. i budynków stanowiących odrębną nieruchomość tj. budynku typu willowego podpiwniczonego o konstrukcji drewnianej, 3 kondygnacje - 415m²  oraz budynku hotelowego o konstrukcji murowano – żelbetowej, 4 kondygnacje – 1725 m²  i budynku hotelowego o konstrukcji murowano – żelbetowej, 4 kondygnacje – 1356 m² , położonych w Szymbarku, Gmina Stężyca, powiat Kartuzy, woj. pomorskie, działka numer 306/1, 308/3, 313, 316/1 obręb Stężyca, dla której prowadzona jest przez V Wydział Ksiąg Wieczystych Sądu Rejonowego w Kartuzach księga wieczysta GD1R/00021519/7.</w:t>
      </w:r>
    </w:p>
    <w:p w14:paraId="605F8FF6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</w:p>
    <w:p w14:paraId="4D22BC57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Przedmiotowa nieruchomość jest objęta Miejscowym Planem Zagospodarowania Przestrzennego gminy Stężyca – zatwierdzonym uchwałą Rady Gminy Nr VII/72/2007 z 12.06.2007 roku i oznaczony jest jako UT – usługi turystyki. Teren nieobjęty planem w studium uwarunkowań i kierunków zagospodarowania gminy również stanowi teren usług turystyki.</w:t>
      </w:r>
    </w:p>
    <w:p w14:paraId="48A025A1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Nieruchomość zabudowana budynkiem hotelowo – wypoczynkowym głównym o pow. 1725m² , z częścią hotelową o pow. 1356 m2 oraz budynkiem wypoczynkowym typu willowego o pow. 415 m² .</w:t>
      </w:r>
    </w:p>
    <w:p w14:paraId="42D06B07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</w:p>
    <w:p w14:paraId="50A6C7B4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Z uwagi na stwierdzony w trakcie oględzin znaczny stopień zużycia, a także daleko posuniętą dewastację elementów wykończenia wyposażenia budynków ustalono, że odbudowy i odtworzenia wymagają wszystkie elementy budynków z wyjątkiem fundamentów.</w:t>
      </w:r>
    </w:p>
    <w:p w14:paraId="29482E44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</w:p>
    <w:p w14:paraId="5123B36E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Działki gruntowe oznaczone w operacie ewidencji gruntów nr 306/1, 308/3, 313 oraz 316/1 mają zwarty nieregularny kształt o łącznej powierzchni 12387 m² . Teren zabudowany ma niewielki spadek w kierunku wschodnim, poza budynkami zajęty na utwardzone dojazdy, dojścia, miejsca postojowe i zieleń. Obszar niezabudowany w większości stanowi zalesiony stok wzniesienia ze znacznymi spadkami w kierunku północno wschodnim.</w:t>
      </w:r>
    </w:p>
    <w:p w14:paraId="61A75CCC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</w:p>
    <w:p w14:paraId="6C9FF624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Teren jest uzbrojony w sieć elektroenergetyczną bez trafostacji, wodociągową bez podłączenia do studni i kanalizacją bez włączenia do oczyszczalni.</w:t>
      </w:r>
    </w:p>
    <w:p w14:paraId="4FB2C2D5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</w:p>
    <w:p w14:paraId="17E933AF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Nieruchomość malowniczo położona jest na jednym z zalesionych wzniesień w otoczeniu szczytu Wieżyca w sąsiedztwie jezior i rezerwatów przyrody.</w:t>
      </w:r>
    </w:p>
    <w:p w14:paraId="68706CEE" w14:textId="77777777" w:rsidR="004A239F" w:rsidRPr="00443E25" w:rsidRDefault="004A239F" w:rsidP="00443E25">
      <w:pPr>
        <w:pStyle w:val="Standard"/>
        <w:rPr>
          <w:rFonts w:ascii="Lato" w:hAnsi="Lato"/>
          <w:bCs/>
          <w:sz w:val="24"/>
          <w:szCs w:val="24"/>
        </w:rPr>
      </w:pPr>
      <w:r w:rsidRPr="00443E25">
        <w:rPr>
          <w:rFonts w:ascii="Lato" w:hAnsi="Lato"/>
          <w:bCs/>
          <w:sz w:val="24"/>
          <w:szCs w:val="24"/>
        </w:rPr>
        <w:lastRenderedPageBreak/>
        <w:t xml:space="preserve">należących do użytkownika wieczystego tj. Spółki z o.o MORENA; </w:t>
      </w:r>
    </w:p>
    <w:p w14:paraId="3C0FD4AE" w14:textId="539AA5DC" w:rsidR="004A239F" w:rsidRPr="004D58F0" w:rsidRDefault="004A239F" w:rsidP="00443E25">
      <w:pPr>
        <w:pStyle w:val="Standard"/>
        <w:rPr>
          <w:rFonts w:ascii="Lato" w:hAnsi="Lato"/>
          <w:sz w:val="26"/>
          <w:szCs w:val="26"/>
          <w:lang w:val="fr-FR"/>
        </w:rPr>
      </w:pPr>
      <w:r w:rsidRPr="004D58F0">
        <w:rPr>
          <w:rFonts w:ascii="Lato" w:hAnsi="Lato"/>
          <w:b/>
          <w:bCs/>
          <w:sz w:val="26"/>
          <w:szCs w:val="26"/>
        </w:rPr>
        <w:t>Termin</w:t>
      </w:r>
      <w:r w:rsidR="00443E25" w:rsidRPr="004D58F0">
        <w:rPr>
          <w:rFonts w:ascii="Lato" w:hAnsi="Lato"/>
          <w:sz w:val="26"/>
          <w:szCs w:val="26"/>
        </w:rPr>
        <w:t xml:space="preserve"> </w:t>
      </w:r>
      <w:r w:rsidRPr="004D58F0">
        <w:rPr>
          <w:rFonts w:ascii="Lato" w:hAnsi="Lato"/>
          <w:sz w:val="24"/>
          <w:szCs w:val="24"/>
        </w:rPr>
        <w:t>30.01.2025</w:t>
      </w:r>
      <w:r w:rsidR="00443E25" w:rsidRPr="004D58F0">
        <w:rPr>
          <w:rFonts w:ascii="Lato" w:hAnsi="Lato"/>
          <w:sz w:val="24"/>
          <w:szCs w:val="24"/>
        </w:rPr>
        <w:t xml:space="preserve"> roku</w:t>
      </w:r>
      <w:r w:rsidRPr="004D58F0">
        <w:rPr>
          <w:rFonts w:ascii="Lato" w:hAnsi="Lato"/>
          <w:sz w:val="24"/>
          <w:szCs w:val="24"/>
        </w:rPr>
        <w:t xml:space="preserve"> godz. 10.00</w:t>
      </w:r>
    </w:p>
    <w:p w14:paraId="465EF878" w14:textId="6BDA3EE2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D58F0">
        <w:rPr>
          <w:rFonts w:ascii="Lato" w:hAnsi="Lato"/>
          <w:b/>
          <w:bCs/>
          <w:sz w:val="26"/>
          <w:szCs w:val="26"/>
        </w:rPr>
        <w:t>Miejsce</w:t>
      </w:r>
      <w:r w:rsidR="004D58F0" w:rsidRPr="004D58F0">
        <w:rPr>
          <w:rFonts w:ascii="Lato" w:hAnsi="Lato"/>
          <w:b/>
          <w:bCs/>
          <w:sz w:val="24"/>
          <w:szCs w:val="24"/>
        </w:rPr>
        <w:t xml:space="preserve"> </w:t>
      </w:r>
      <w:r w:rsidRPr="00443E25">
        <w:rPr>
          <w:rFonts w:ascii="Lato" w:hAnsi="Lato"/>
          <w:sz w:val="24"/>
          <w:szCs w:val="24"/>
        </w:rPr>
        <w:t>Urząd Skarbowy w Kartuzach, 83-300 Kartuzy, ul. Kościerska 13</w:t>
      </w:r>
    </w:p>
    <w:p w14:paraId="446EE497" w14:textId="64A7C05B" w:rsidR="004A239F" w:rsidRPr="004D58F0" w:rsidRDefault="004A239F" w:rsidP="00443E25">
      <w:pPr>
        <w:pStyle w:val="Standard"/>
        <w:rPr>
          <w:rFonts w:ascii="Lato" w:hAnsi="Lato"/>
          <w:b/>
          <w:sz w:val="26"/>
          <w:szCs w:val="26"/>
          <w:lang w:val="fr-FR"/>
        </w:rPr>
      </w:pPr>
      <w:r w:rsidRPr="004D58F0">
        <w:rPr>
          <w:rFonts w:ascii="Lato" w:hAnsi="Lato"/>
          <w:b/>
          <w:sz w:val="26"/>
          <w:szCs w:val="26"/>
        </w:rPr>
        <w:t>Wartość szacunkowa nieruchomości</w:t>
      </w:r>
      <w:r w:rsidR="00443E25" w:rsidRPr="004D58F0">
        <w:rPr>
          <w:rFonts w:ascii="Lato" w:hAnsi="Lato"/>
          <w:b/>
          <w:sz w:val="26"/>
          <w:szCs w:val="26"/>
        </w:rPr>
        <w:t>:</w:t>
      </w:r>
      <w:r w:rsidRPr="004D58F0">
        <w:rPr>
          <w:rFonts w:ascii="Lato" w:hAnsi="Lato"/>
          <w:b/>
          <w:sz w:val="26"/>
          <w:szCs w:val="26"/>
        </w:rPr>
        <w:t xml:space="preserve"> </w:t>
      </w:r>
    </w:p>
    <w:p w14:paraId="6D445C41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  <w:lang w:val="fr-FR"/>
        </w:rPr>
      </w:pPr>
      <w:r w:rsidRPr="00443E25">
        <w:rPr>
          <w:rFonts w:ascii="Lato" w:hAnsi="Lato"/>
          <w:sz w:val="24"/>
          <w:szCs w:val="24"/>
        </w:rPr>
        <w:t>wartość gruntu oddanego w użytkowanie wieczyste wraz z budynkami stanowiącymi odrębną nieruchomość objętych KW nr GD1R/00021519/7 podlegających egzekucji określono w wysokości:  3.661.600,00 zł</w:t>
      </w:r>
    </w:p>
    <w:p w14:paraId="72941CED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bCs/>
          <w:sz w:val="24"/>
          <w:szCs w:val="24"/>
        </w:rPr>
        <w:t xml:space="preserve"> </w:t>
      </w:r>
    </w:p>
    <w:p w14:paraId="37269EEB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D58F0">
        <w:rPr>
          <w:rFonts w:ascii="Lato" w:hAnsi="Lato"/>
          <w:b/>
          <w:bCs/>
          <w:sz w:val="26"/>
          <w:szCs w:val="26"/>
        </w:rPr>
        <w:t>Cena wywołania</w:t>
      </w:r>
      <w:r w:rsidRPr="00443E25">
        <w:rPr>
          <w:rFonts w:ascii="Lato" w:hAnsi="Lato"/>
          <w:sz w:val="24"/>
          <w:szCs w:val="24"/>
        </w:rPr>
        <w:t xml:space="preserve">  </w:t>
      </w:r>
      <w:r w:rsidRPr="00443E25">
        <w:rPr>
          <w:rFonts w:ascii="Lato" w:hAnsi="Lato"/>
          <w:sz w:val="24"/>
          <w:szCs w:val="24"/>
          <w:lang w:val="fr-FR"/>
        </w:rPr>
        <w:t xml:space="preserve">2.380,040,00zł </w:t>
      </w:r>
    </w:p>
    <w:p w14:paraId="5FAB69B9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  <w:lang w:val="fr-FR"/>
        </w:rPr>
      </w:pPr>
      <w:r w:rsidRPr="004D58F0">
        <w:rPr>
          <w:rFonts w:ascii="Lato" w:hAnsi="Lato"/>
          <w:b/>
          <w:bCs/>
          <w:sz w:val="26"/>
          <w:szCs w:val="26"/>
        </w:rPr>
        <w:t xml:space="preserve">Wadium </w:t>
      </w:r>
      <w:r w:rsidRPr="00443E25">
        <w:rPr>
          <w:rFonts w:ascii="Lato" w:hAnsi="Lato"/>
          <w:sz w:val="24"/>
          <w:szCs w:val="24"/>
          <w:lang w:val="fr-FR"/>
        </w:rPr>
        <w:t xml:space="preserve"> 366.160,00 zł</w:t>
      </w:r>
    </w:p>
    <w:p w14:paraId="4E03BB91" w14:textId="77777777" w:rsidR="004A239F" w:rsidRPr="00443E25" w:rsidRDefault="004A239F" w:rsidP="00443E25">
      <w:pPr>
        <w:pStyle w:val="Standard"/>
        <w:rPr>
          <w:rFonts w:ascii="Lato" w:hAnsi="Lato"/>
          <w:bCs/>
          <w:sz w:val="24"/>
          <w:szCs w:val="24"/>
        </w:rPr>
      </w:pPr>
      <w:r w:rsidRPr="00443E25">
        <w:rPr>
          <w:rFonts w:ascii="Lato" w:hAnsi="Lato"/>
          <w:bCs/>
          <w:sz w:val="24"/>
          <w:szCs w:val="24"/>
        </w:rPr>
        <w:t xml:space="preserve">Warunkiem przystąpienia do licytacji nieruchomości jest wpłata wadium. </w:t>
      </w:r>
      <w:r w:rsidRPr="00443E25">
        <w:rPr>
          <w:rFonts w:ascii="Lato" w:hAnsi="Lato"/>
          <w:bCs/>
          <w:sz w:val="24"/>
          <w:szCs w:val="24"/>
        </w:rPr>
        <w:tab/>
      </w:r>
      <w:r w:rsidRPr="00443E25">
        <w:rPr>
          <w:rFonts w:ascii="Lato" w:hAnsi="Lato"/>
          <w:bCs/>
          <w:sz w:val="24"/>
          <w:szCs w:val="24"/>
        </w:rPr>
        <w:tab/>
      </w:r>
    </w:p>
    <w:p w14:paraId="003F8FF5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Wadium proszę wpłacić na rachunek bankowy nr</w:t>
      </w:r>
      <w:r w:rsidRPr="00443E25">
        <w:rPr>
          <w:rFonts w:ascii="Lato" w:hAnsi="Lato"/>
          <w:i/>
          <w:sz w:val="24"/>
          <w:szCs w:val="24"/>
        </w:rPr>
        <w:t xml:space="preserve"> </w:t>
      </w:r>
      <w:r w:rsidRPr="00443E25">
        <w:rPr>
          <w:rFonts w:ascii="Lato" w:hAnsi="Lato"/>
          <w:sz w:val="24"/>
          <w:szCs w:val="24"/>
        </w:rPr>
        <w:t xml:space="preserve">NBP O/O Gdańsk 55101011400144011391200000. W treści przelewu proszę zamieścić: </w:t>
      </w:r>
    </w:p>
    <w:p w14:paraId="21825B29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wadium, licytacja nieruchomości GD1R/00021519/7</w:t>
      </w:r>
    </w:p>
    <w:p w14:paraId="20EFED5E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Wadium uznam za złożone, jeżeli wpłata zostanie uznana na naszym rachunku najpóźniej w dniu poprzedzającym dzień licytacji.</w:t>
      </w:r>
    </w:p>
    <w:p w14:paraId="2F71FD3A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  <w:u w:val="single"/>
        </w:rPr>
      </w:pPr>
      <w:r w:rsidRPr="00443E25">
        <w:rPr>
          <w:rFonts w:ascii="Lato" w:hAnsi="Lato"/>
          <w:sz w:val="24"/>
          <w:szCs w:val="24"/>
          <w:u w:val="single"/>
        </w:rPr>
        <w:t xml:space="preserve">Zatrzymam wadium złożone przez licytanta, któremu udzielimy przybicia. </w:t>
      </w:r>
    </w:p>
    <w:p w14:paraId="430C57E3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 xml:space="preserve">Pozostałym licytantom zwrócę wadium nie później niż w terminie 7 dni roboczych od dnia licytacji. </w:t>
      </w:r>
    </w:p>
    <w:p w14:paraId="4B9473AF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</w:p>
    <w:p w14:paraId="1926E0B6" w14:textId="77777777" w:rsidR="004A239F" w:rsidRPr="00360B86" w:rsidRDefault="004A239F" w:rsidP="00443E25">
      <w:pPr>
        <w:pStyle w:val="Standard"/>
        <w:rPr>
          <w:rFonts w:ascii="Lato" w:hAnsi="Lato"/>
          <w:b/>
          <w:sz w:val="28"/>
          <w:szCs w:val="28"/>
        </w:rPr>
      </w:pPr>
      <w:r w:rsidRPr="00360B86">
        <w:rPr>
          <w:rFonts w:ascii="Lato" w:hAnsi="Lato"/>
          <w:b/>
          <w:sz w:val="28"/>
          <w:szCs w:val="28"/>
        </w:rPr>
        <w:t>Termin i miejsce oglądania nieruchomości</w:t>
      </w:r>
    </w:p>
    <w:p w14:paraId="03875B52" w14:textId="5238A3EE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bCs/>
          <w:sz w:val="24"/>
          <w:szCs w:val="24"/>
        </w:rPr>
        <w:t xml:space="preserve">Nieruchomość można oglądać </w:t>
      </w:r>
      <w:r w:rsidRPr="00443E25">
        <w:rPr>
          <w:rFonts w:ascii="Lato" w:hAnsi="Lato"/>
          <w:sz w:val="24"/>
          <w:szCs w:val="24"/>
        </w:rPr>
        <w:t xml:space="preserve">w terminie od </w:t>
      </w:r>
      <w:r w:rsidR="007245D3">
        <w:rPr>
          <w:rFonts w:ascii="Lato" w:hAnsi="Lato"/>
          <w:sz w:val="24"/>
          <w:szCs w:val="24"/>
        </w:rPr>
        <w:t>14</w:t>
      </w:r>
      <w:r w:rsidRPr="00443E25">
        <w:rPr>
          <w:rFonts w:ascii="Lato" w:hAnsi="Lato"/>
          <w:sz w:val="24"/>
          <w:szCs w:val="24"/>
        </w:rPr>
        <w:t>.01.2025</w:t>
      </w:r>
      <w:r w:rsidR="00443E25">
        <w:rPr>
          <w:rFonts w:ascii="Lato" w:hAnsi="Lato"/>
          <w:sz w:val="24"/>
          <w:szCs w:val="24"/>
        </w:rPr>
        <w:t xml:space="preserve"> roku</w:t>
      </w:r>
      <w:r w:rsidRPr="00443E25">
        <w:rPr>
          <w:rFonts w:ascii="Lato" w:hAnsi="Lato"/>
          <w:sz w:val="24"/>
          <w:szCs w:val="24"/>
        </w:rPr>
        <w:t xml:space="preserve"> do </w:t>
      </w:r>
      <w:r w:rsidR="007245D3">
        <w:rPr>
          <w:rFonts w:ascii="Lato" w:hAnsi="Lato"/>
          <w:sz w:val="24"/>
          <w:szCs w:val="24"/>
        </w:rPr>
        <w:t>15</w:t>
      </w:r>
      <w:r w:rsidRPr="00443E25">
        <w:rPr>
          <w:rFonts w:ascii="Lato" w:hAnsi="Lato"/>
          <w:sz w:val="24"/>
          <w:szCs w:val="24"/>
        </w:rPr>
        <w:t>.01.2025</w:t>
      </w:r>
      <w:r w:rsidR="00443E25">
        <w:rPr>
          <w:rFonts w:ascii="Lato" w:hAnsi="Lato"/>
          <w:sz w:val="24"/>
          <w:szCs w:val="24"/>
        </w:rPr>
        <w:t xml:space="preserve"> roku </w:t>
      </w:r>
      <w:r w:rsidRPr="00443E25">
        <w:rPr>
          <w:rFonts w:ascii="Lato" w:hAnsi="Lato"/>
          <w:sz w:val="24"/>
          <w:szCs w:val="24"/>
        </w:rPr>
        <w:t xml:space="preserve">po wcześniejszym uzgodnieniu z pracownikiem organu egzekucyjnego Panem Michałem Jankowskim telefon 58 685-28-82. W tym samym czasie mogą Państwo przeglądać akta postępowania egzekucyjnego bezpośrednio związane z nieruchomością (protokół opisu i oszacowania wraz z operatem szacunkowym) w siedzibie Urzędu Skarbowego w Kartuzach, w godz. 9.00-12.00.  </w:t>
      </w:r>
    </w:p>
    <w:p w14:paraId="7AC70AEA" w14:textId="77777777" w:rsidR="004A239F" w:rsidRPr="00443E25" w:rsidRDefault="004A239F" w:rsidP="00443E25">
      <w:pPr>
        <w:pStyle w:val="Standard"/>
        <w:rPr>
          <w:rFonts w:ascii="Lato" w:hAnsi="Lato"/>
          <w:bCs/>
          <w:sz w:val="24"/>
          <w:szCs w:val="24"/>
        </w:rPr>
      </w:pPr>
    </w:p>
    <w:p w14:paraId="40FAA0B4" w14:textId="77777777" w:rsidR="004A239F" w:rsidRPr="004D58F0" w:rsidRDefault="004A239F" w:rsidP="00443E25">
      <w:pPr>
        <w:pStyle w:val="Standard"/>
        <w:rPr>
          <w:rFonts w:ascii="Lato" w:hAnsi="Lato"/>
          <w:b/>
          <w:sz w:val="28"/>
          <w:szCs w:val="28"/>
        </w:rPr>
      </w:pPr>
      <w:r w:rsidRPr="004D58F0">
        <w:rPr>
          <w:rFonts w:ascii="Lato" w:hAnsi="Lato"/>
          <w:b/>
          <w:sz w:val="28"/>
          <w:szCs w:val="28"/>
        </w:rPr>
        <w:t>Pozostałe informacje</w:t>
      </w:r>
    </w:p>
    <w:p w14:paraId="69F3F03B" w14:textId="77777777" w:rsidR="004A239F" w:rsidRPr="00443E25" w:rsidRDefault="004A239F" w:rsidP="00443E25">
      <w:pPr>
        <w:pStyle w:val="Standard"/>
        <w:rPr>
          <w:rFonts w:ascii="Lato" w:hAnsi="Lato"/>
          <w:bCs/>
          <w:sz w:val="24"/>
          <w:szCs w:val="24"/>
        </w:rPr>
      </w:pPr>
      <w:r w:rsidRPr="00443E25">
        <w:rPr>
          <w:rFonts w:ascii="Lato" w:hAnsi="Lato"/>
          <w:bCs/>
          <w:sz w:val="24"/>
          <w:szCs w:val="24"/>
        </w:rPr>
        <w:t>Sprzedaż nie jest opodatkowana podatkiem od towarów i usług. Sprzedaż nie jest opodatkowana podatkiem od czynności cywilnoprawnych.</w:t>
      </w:r>
    </w:p>
    <w:p w14:paraId="4E53F547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14:paraId="05F58993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lastRenderedPageBreak/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14:paraId="37AB8BA5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</w:p>
    <w:p w14:paraId="4B18F81B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W licytacji nie mogą uczestniczyć osoby, o których mowa w art. 111d § 1 ustawy o postępowaniu egzekucyjnym w administracji.</w:t>
      </w:r>
    </w:p>
    <w:p w14:paraId="17F3025F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</w:p>
    <w:p w14:paraId="60AEB2D4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Licytacja może zostać odwołana bez podania przyczyny.</w:t>
      </w:r>
    </w:p>
    <w:p w14:paraId="290F5153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</w:p>
    <w:p w14:paraId="4BAF9C9E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Na czynność organu egzekucyjnego dotyczącego obwieszczenia o licytacji przysługuje skarga. Skargę można wnieść do organu egzekucyjnego w terminie 14 dni od dnia ogłoszenia o licytacji.</w:t>
      </w:r>
    </w:p>
    <w:p w14:paraId="2B182D78" w14:textId="77777777" w:rsidR="004A239F" w:rsidRPr="00443E25" w:rsidRDefault="004A239F" w:rsidP="00443E25">
      <w:pPr>
        <w:pStyle w:val="Standard"/>
        <w:rPr>
          <w:rFonts w:ascii="Lato" w:hAnsi="Lato"/>
          <w:bCs/>
          <w:sz w:val="24"/>
          <w:szCs w:val="24"/>
        </w:rPr>
      </w:pPr>
    </w:p>
    <w:p w14:paraId="599526CA" w14:textId="77777777" w:rsidR="004A239F" w:rsidRPr="00443E25" w:rsidRDefault="004A239F" w:rsidP="00443E25">
      <w:pPr>
        <w:pStyle w:val="Standard"/>
        <w:rPr>
          <w:rFonts w:ascii="Lato" w:hAnsi="Lato"/>
          <w:bCs/>
          <w:sz w:val="24"/>
          <w:szCs w:val="24"/>
        </w:rPr>
      </w:pPr>
      <w:r w:rsidRPr="00443E25">
        <w:rPr>
          <w:rFonts w:ascii="Lato" w:hAnsi="Lato"/>
          <w:bCs/>
          <w:sz w:val="24"/>
          <w:szCs w:val="24"/>
        </w:rPr>
        <w:t>Szczegółowe informacje można uzyskać w Dziale Egzekucji Administracyjnej:</w:t>
      </w:r>
    </w:p>
    <w:p w14:paraId="49FDF730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</w:p>
    <w:p w14:paraId="2F00C42E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noProof/>
          <w:sz w:val="24"/>
          <w:szCs w:val="24"/>
          <w:lang w:eastAsia="pl-PL"/>
        </w:rPr>
        <w:drawing>
          <wp:anchor distT="0" distB="635" distL="114300" distR="114935" simplePos="0" relativeHeight="251659264" behindDoc="0" locked="0" layoutInCell="0" allowOverlap="1" wp14:anchorId="3EF97062" wp14:editId="02593CB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E25">
        <w:rPr>
          <w:rFonts w:ascii="Lato" w:hAnsi="Lato"/>
          <w:sz w:val="24"/>
          <w:szCs w:val="24"/>
        </w:rPr>
        <w:t xml:space="preserve">telefonicznie – pod numerem </w:t>
      </w:r>
      <w:r w:rsidRPr="00443E25">
        <w:rPr>
          <w:rFonts w:ascii="Lato" w:hAnsi="Lato"/>
          <w:bCs/>
          <w:sz w:val="24"/>
          <w:szCs w:val="24"/>
        </w:rPr>
        <w:t xml:space="preserve">telefonu: </w:t>
      </w:r>
      <w:r w:rsidRPr="00443E25">
        <w:rPr>
          <w:rFonts w:ascii="Lato" w:hAnsi="Lato"/>
          <w:bCs/>
          <w:sz w:val="24"/>
          <w:szCs w:val="24"/>
        </w:rPr>
        <w:br/>
        <w:t>58 685-28-82</w:t>
      </w:r>
    </w:p>
    <w:p w14:paraId="4B72E716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</w:p>
    <w:p w14:paraId="121810AF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0" allowOverlap="1" wp14:anchorId="347BF009" wp14:editId="11B446CB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E25">
        <w:rPr>
          <w:rFonts w:ascii="Lato" w:hAnsi="Lato"/>
          <w:sz w:val="24"/>
          <w:szCs w:val="24"/>
        </w:rPr>
        <w:t>elektronicznie – napisz na adres:</w:t>
      </w:r>
    </w:p>
    <w:p w14:paraId="4044CD4F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>michal.jankowski3@mf.gov.pl</w:t>
      </w:r>
    </w:p>
    <w:p w14:paraId="2A853155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bCs/>
          <w:sz w:val="24"/>
          <w:szCs w:val="24"/>
        </w:rPr>
        <w:t>oraz na stronie:</w:t>
      </w:r>
      <w:r w:rsidRPr="00443E25">
        <w:rPr>
          <w:rFonts w:ascii="Lato" w:hAnsi="Lato"/>
          <w:sz w:val="24"/>
          <w:szCs w:val="24"/>
        </w:rPr>
        <w:t xml:space="preserve"> </w:t>
      </w:r>
      <w:r w:rsidRPr="00443E25">
        <w:rPr>
          <w:rFonts w:ascii="Lato" w:hAnsi="Lato"/>
          <w:bCs/>
          <w:sz w:val="24"/>
          <w:szCs w:val="24"/>
          <w:u w:val="single"/>
        </w:rPr>
        <w:t>https://www.pomorskie.kas.gov.pl/izba-administracji-skarbowej-w-gdansku/ogloszenia/obwieszczenia-o-licytacjach</w:t>
      </w:r>
      <w:r w:rsidRPr="00443E25">
        <w:rPr>
          <w:rFonts w:ascii="Lato" w:hAnsi="Lato"/>
          <w:bCs/>
          <w:sz w:val="24"/>
          <w:szCs w:val="24"/>
        </w:rPr>
        <w:t>,</w:t>
      </w:r>
    </w:p>
    <w:p w14:paraId="52C2575B" w14:textId="77777777" w:rsidR="004A239F" w:rsidRPr="00004480" w:rsidRDefault="004A239F" w:rsidP="00443E25">
      <w:pPr>
        <w:pStyle w:val="Standard"/>
        <w:rPr>
          <w:rFonts w:ascii="Lato" w:hAnsi="Lato"/>
          <w:b/>
          <w:bCs/>
          <w:sz w:val="24"/>
          <w:szCs w:val="24"/>
        </w:rPr>
      </w:pPr>
      <w:r w:rsidRPr="00004480">
        <w:rPr>
          <w:rFonts w:ascii="Lato" w:hAnsi="Lato"/>
          <w:b/>
          <w:bCs/>
          <w:sz w:val="24"/>
          <w:szCs w:val="24"/>
        </w:rPr>
        <w:t xml:space="preserve">Przepisy prawa: </w:t>
      </w:r>
    </w:p>
    <w:p w14:paraId="049E10DC" w14:textId="77777777" w:rsidR="004A239F" w:rsidRPr="00443E25" w:rsidRDefault="004A239F" w:rsidP="00443E25">
      <w:pPr>
        <w:pStyle w:val="Standard"/>
        <w:rPr>
          <w:rFonts w:ascii="Lato" w:hAnsi="Lato"/>
          <w:sz w:val="24"/>
          <w:szCs w:val="24"/>
        </w:rPr>
      </w:pPr>
      <w:r w:rsidRPr="00443E25">
        <w:rPr>
          <w:rFonts w:ascii="Lato" w:hAnsi="Lato"/>
          <w:sz w:val="24"/>
          <w:szCs w:val="24"/>
        </w:rPr>
        <w:t xml:space="preserve">Art. 110w §1 i § 3, art. 110z, art. 111, art. 111d ustawy z dnia 17 czerwca 1966 r. </w:t>
      </w:r>
      <w:r w:rsidRPr="00443E25">
        <w:rPr>
          <w:rFonts w:ascii="Lato" w:hAnsi="Lato"/>
          <w:sz w:val="24"/>
          <w:szCs w:val="24"/>
        </w:rPr>
        <w:br/>
        <w:t>o postępowaniu egzekucyjnym w administracji (Dz.U. z 2023 r. poz. 2505, z późn. zm.).</w:t>
      </w:r>
    </w:p>
    <w:p w14:paraId="348D6695" w14:textId="77777777" w:rsidR="007C1A1B" w:rsidRPr="00443E25" w:rsidRDefault="007C1A1B" w:rsidP="00443E25">
      <w:pPr>
        <w:pStyle w:val="Standard"/>
        <w:rPr>
          <w:rFonts w:ascii="Lato" w:hAnsi="Lato"/>
          <w:sz w:val="24"/>
          <w:szCs w:val="24"/>
        </w:rPr>
      </w:pPr>
    </w:p>
    <w:sectPr w:rsidR="007C1A1B" w:rsidRPr="00443E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6229F" w14:textId="77777777" w:rsidR="00535863" w:rsidRDefault="00535863" w:rsidP="00696628">
      <w:r>
        <w:separator/>
      </w:r>
    </w:p>
  </w:endnote>
  <w:endnote w:type="continuationSeparator" w:id="0">
    <w:p w14:paraId="52C96628" w14:textId="77777777" w:rsidR="00535863" w:rsidRDefault="00535863" w:rsidP="0069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44CD7" w14:textId="77777777" w:rsidR="00A731AC" w:rsidRDefault="00A731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F0D30" w14:textId="77777777" w:rsidR="00460BE2" w:rsidRDefault="008C60A7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0FBB648B" wp14:editId="230CDEB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3310" cy="30924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520" cy="30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0C82BB" w14:textId="77777777" w:rsidR="00460BE2" w:rsidRDefault="008C60A7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152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8152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1700277D" w14:textId="77777777" w:rsidR="00460BE2" w:rsidRDefault="00535863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BB648B" id="Pole tekstowe 2" o:spid="_x0000_s1026" style="position:absolute;margin-left:425.25pt;margin-top:0;width:85.3pt;height:24.35pt;z-index:-25165721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" o:allowincell="f" filled="f" stroked="f">
              <v:textbox>
                <w:txbxContent>
                  <w:p w14:paraId="4C0C82BB" w14:textId="77777777" w:rsidR="00460BE2" w:rsidRDefault="008C60A7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8152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8152D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1700277D" w14:textId="77777777" w:rsidR="00460BE2" w:rsidRDefault="00535863">
                    <w:pPr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96F2C" w14:textId="16CBBD7D" w:rsidR="00460BE2" w:rsidRPr="00A731AC" w:rsidRDefault="008C60A7">
    <w:pPr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60288" behindDoc="1" locked="0" layoutInCell="0" allowOverlap="1" wp14:anchorId="3FCA0C58" wp14:editId="45486655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3265" cy="30924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520" cy="30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FFA953" w14:textId="77777777" w:rsidR="00460BE2" w:rsidRDefault="008C60A7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152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8152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F0FC193" w14:textId="77777777" w:rsidR="00460BE2" w:rsidRDefault="00535863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CA0C58" id="_x0000_s1027" style="position:absolute;margin-left:453.6pt;margin-top:0;width:56.95pt;height:24.35pt;z-index:-251656192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" o:allowincell="f" filled="f" stroked="f">
              <v:textbox>
                <w:txbxContent>
                  <w:p w14:paraId="64FFA953" w14:textId="77777777" w:rsidR="00460BE2" w:rsidRDefault="008C60A7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8152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8152D">
                      <w:rPr>
                        <w:b/>
                        <w:bCs/>
                        <w:noProof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F0FC193" w14:textId="77777777" w:rsidR="00460BE2" w:rsidRDefault="00535863">
                    <w:pPr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  <w:p w14:paraId="04DAC008" w14:textId="77777777" w:rsidR="00460BE2" w:rsidRDefault="00535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7405C" w14:textId="77777777" w:rsidR="00535863" w:rsidRDefault="00535863" w:rsidP="00696628">
      <w:r>
        <w:separator/>
      </w:r>
    </w:p>
  </w:footnote>
  <w:footnote w:type="continuationSeparator" w:id="0">
    <w:p w14:paraId="5F89BCA7" w14:textId="77777777" w:rsidR="00535863" w:rsidRDefault="00535863" w:rsidP="0069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D326E" w14:textId="77777777" w:rsidR="00A731AC" w:rsidRDefault="00A731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E2553" w14:textId="77777777" w:rsidR="00A731AC" w:rsidRDefault="00A731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B0194" w14:textId="77777777" w:rsidR="00460BE2" w:rsidRDefault="00535863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D9F65AD4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67438"/>
    <w:multiLevelType w:val="multilevel"/>
    <w:tmpl w:val="C60C44C6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F"/>
    <w:rsid w:val="00004480"/>
    <w:rsid w:val="00034FE9"/>
    <w:rsid w:val="00043991"/>
    <w:rsid w:val="0008005F"/>
    <w:rsid w:val="000A7239"/>
    <w:rsid w:val="000B397E"/>
    <w:rsid w:val="000E3E94"/>
    <w:rsid w:val="000E7E4F"/>
    <w:rsid w:val="0017532B"/>
    <w:rsid w:val="001A199E"/>
    <w:rsid w:val="00203F8F"/>
    <w:rsid w:val="00296983"/>
    <w:rsid w:val="002A5775"/>
    <w:rsid w:val="002C0B63"/>
    <w:rsid w:val="00360B86"/>
    <w:rsid w:val="0038152D"/>
    <w:rsid w:val="003B25A0"/>
    <w:rsid w:val="003E48F6"/>
    <w:rsid w:val="003F7E1B"/>
    <w:rsid w:val="00433509"/>
    <w:rsid w:val="00443E25"/>
    <w:rsid w:val="00452CFB"/>
    <w:rsid w:val="0046417C"/>
    <w:rsid w:val="00484947"/>
    <w:rsid w:val="004A239F"/>
    <w:rsid w:val="004D58F0"/>
    <w:rsid w:val="004D5E52"/>
    <w:rsid w:val="00535863"/>
    <w:rsid w:val="005577C0"/>
    <w:rsid w:val="005C1AC2"/>
    <w:rsid w:val="005D59BE"/>
    <w:rsid w:val="005D78B1"/>
    <w:rsid w:val="005E6339"/>
    <w:rsid w:val="0067340C"/>
    <w:rsid w:val="00696628"/>
    <w:rsid w:val="007245D3"/>
    <w:rsid w:val="00741409"/>
    <w:rsid w:val="00754301"/>
    <w:rsid w:val="00786E6E"/>
    <w:rsid w:val="007C1A1B"/>
    <w:rsid w:val="0080018B"/>
    <w:rsid w:val="00854D33"/>
    <w:rsid w:val="00885EE7"/>
    <w:rsid w:val="00887B0F"/>
    <w:rsid w:val="008A26C2"/>
    <w:rsid w:val="008A5A7C"/>
    <w:rsid w:val="008C60A7"/>
    <w:rsid w:val="008F15FD"/>
    <w:rsid w:val="0099289A"/>
    <w:rsid w:val="009A4798"/>
    <w:rsid w:val="009A69FA"/>
    <w:rsid w:val="00A50585"/>
    <w:rsid w:val="00A731AC"/>
    <w:rsid w:val="00B939B0"/>
    <w:rsid w:val="00C52B48"/>
    <w:rsid w:val="00C9413F"/>
    <w:rsid w:val="00D255E5"/>
    <w:rsid w:val="00EA4D93"/>
    <w:rsid w:val="00EB67EF"/>
    <w:rsid w:val="00EB7CB4"/>
    <w:rsid w:val="00F35161"/>
    <w:rsid w:val="00FA588E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9E51C"/>
  <w15:docId w15:val="{342A6731-5250-46AC-9607-22FED50C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B6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B6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8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B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nhideWhenUsed/>
    <w:qFormat/>
    <w:rsid w:val="0046417C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417C"/>
    <w:rPr>
      <w:rFonts w:eastAsiaTheme="minorEastAsia"/>
      <w:color w:val="5A5A5A" w:themeColor="text1" w:themeTint="A5"/>
      <w:spacing w:val="15"/>
    </w:rPr>
  </w:style>
  <w:style w:type="paragraph" w:customStyle="1" w:styleId="WW-Domylnie">
    <w:name w:val="WW-Domyślnie"/>
    <w:qFormat/>
    <w:rsid w:val="002A577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 w:bidi="hi-IN"/>
    </w:rPr>
  </w:style>
  <w:style w:type="character" w:customStyle="1" w:styleId="eop">
    <w:name w:val="eop"/>
    <w:basedOn w:val="Domylnaczcionkaakapitu"/>
    <w:qFormat/>
    <w:rsid w:val="000B397E"/>
  </w:style>
  <w:style w:type="character" w:customStyle="1" w:styleId="Nagwek2Znak">
    <w:name w:val="Nagłówek 2 Znak"/>
    <w:basedOn w:val="Domylnaczcionkaakapitu"/>
    <w:link w:val="Nagwek2"/>
    <w:uiPriority w:val="9"/>
    <w:qFormat/>
    <w:rsid w:val="005D78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8A5A7C"/>
    <w:pPr>
      <w:widowControl w:val="0"/>
      <w:suppressAutoHyphens/>
      <w:spacing w:before="120" w:after="0" w:line="276" w:lineRule="auto"/>
    </w:pPr>
    <w:rPr>
      <w:rFonts w:eastAsia="Lato" w:cstheme="minorHAnsi"/>
      <w:color w:val="000000" w:themeColor="text1"/>
    </w:rPr>
  </w:style>
  <w:style w:type="paragraph" w:customStyle="1" w:styleId="rdtytuKAS">
    <w:name w:val="Śródtytuł KAS"/>
    <w:basedOn w:val="Nagwek2"/>
    <w:link w:val="rdtytuKASZnak"/>
    <w:qFormat/>
    <w:rsid w:val="008A5A7C"/>
    <w:pPr>
      <w:suppressAutoHyphens/>
      <w:spacing w:before="240" w:line="276" w:lineRule="auto"/>
      <w:contextualSpacing/>
    </w:pPr>
    <w:rPr>
      <w:rFonts w:cstheme="minorHAnsi"/>
      <w:b/>
      <w:color w:val="000000" w:themeColor="text1"/>
      <w:sz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8A5A7C"/>
    <w:rPr>
      <w:rFonts w:ascii="Cambria" w:eastAsia="Lato" w:hAnsi="Cambria" w:cstheme="minorHAnsi"/>
      <w:color w:val="000000" w:themeColor="text1"/>
      <w:sz w:val="24"/>
      <w:szCs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8A5A7C"/>
    <w:pPr>
      <w:widowControl w:val="0"/>
      <w:numPr>
        <w:numId w:val="1"/>
      </w:numPr>
      <w:suppressAutoHyphens/>
      <w:spacing w:before="120" w:line="276" w:lineRule="auto"/>
      <w:ind w:left="284" w:hanging="284"/>
    </w:pPr>
    <w:rPr>
      <w:rFonts w:asciiTheme="minorHAnsi" w:eastAsia="Lato" w:hAnsiTheme="minorHAnsi" w:cstheme="minorHAnsi"/>
      <w:color w:val="000000" w:themeColor="text1"/>
      <w:szCs w:val="22"/>
    </w:rPr>
  </w:style>
  <w:style w:type="character" w:customStyle="1" w:styleId="rdtytuKASZnak">
    <w:name w:val="Śródtytuł KAS Znak"/>
    <w:basedOn w:val="Nagwek2Znak"/>
    <w:link w:val="rdtytuKAS"/>
    <w:uiPriority w:val="1"/>
    <w:rsid w:val="008A5A7C"/>
    <w:rPr>
      <w:rFonts w:asciiTheme="majorHAnsi" w:eastAsiaTheme="majorEastAsia" w:hAnsiTheme="majorHAnsi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rsid w:val="008A5A7C"/>
    <w:rPr>
      <w:rFonts w:eastAsia="Lato" w:cstheme="minorHAnsi"/>
      <w:color w:val="000000" w:themeColor="text1"/>
      <w:sz w:val="24"/>
    </w:rPr>
  </w:style>
  <w:style w:type="paragraph" w:customStyle="1" w:styleId="Standard">
    <w:name w:val="Standard"/>
    <w:qFormat/>
    <w:rsid w:val="008A5A7C"/>
    <w:pPr>
      <w:suppressAutoHyphens/>
      <w:overflowPunct w:val="0"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5A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5A7C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7340C"/>
    <w:rPr>
      <w:color w:val="0563C1" w:themeColor="hyperlink"/>
      <w:u w:val="single"/>
    </w:rPr>
  </w:style>
  <w:style w:type="paragraph" w:customStyle="1" w:styleId="Nagwek11">
    <w:name w:val="Nagłówek 11"/>
    <w:basedOn w:val="Normalny"/>
    <w:next w:val="Normalny"/>
    <w:uiPriority w:val="9"/>
    <w:qFormat/>
    <w:rsid w:val="0067340C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947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Wojtysiak Anita</dc:creator>
  <cp:keywords/>
  <dc:description/>
  <cp:lastModifiedBy>Wietrzyńska Dagmara</cp:lastModifiedBy>
  <cp:revision>2</cp:revision>
  <cp:lastPrinted>2024-11-21T12:25:00Z</cp:lastPrinted>
  <dcterms:created xsi:type="dcterms:W3CDTF">2024-11-26T10:30:00Z</dcterms:created>
  <dcterms:modified xsi:type="dcterms:W3CDTF">2024-11-26T10:30:00Z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2023-09-22T09:00:32.7376569+02:00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GRN-3d78d699-450c-48fe-a2cb-2f10ad9d61cb</vt:lpwstr>
  </property>
  <property fmtid="{D5CDD505-2E9C-101B-9397-08002B2CF9AE}" pid="7" name="MFHash">
    <vt:lpwstr>htBNhdG9/JiYTbWndEBBn97/aRcGNKGVZU4XGNX1QhM=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